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Levin Ross B</w:t>
              </w:r>
            </w:hyperlink>
          </w:p>
        </w:tc>
        <w:tc>
          <w:tcPr>
            <w:tcW w:w="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Stereotaxis,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STXS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01/02/2025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STEREOTAXIS, INC.</w:t>
            </w:r>
          </w:p>
        </w:tc>
        <w:tc>
          <w:tcPr>
            <w:tcW w:w="14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710 NORTH TUCKER BOULEVARD; SUITE 110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ST. LOUIS,</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63101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01/02/2025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56,497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487,529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 units. Each restricted share unit represents a right to receive one share of common stock. The restricted share units vest on the earliest to occur of (i) the fifth anniversary of the date of the award, (ii) the date on which the service of the director on the board of directors terminates, or (iii) a Change of Control (as defined in the award documents).</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9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 Fact for Ross B.</w:t>
        <w:tab/>
        <w:t>01/02/2025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9880" TargetMode="External"/><Relationship Id="rId14" Type="http://schemas.openxmlformats.org/officeDocument/2006/relationships/hyperlink" Target="http://www.sec.gov/cgi-bin/browse-edgar?action=getcompany&amp;CIK=00012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2025-01-02T16:33:27Z</dcterms:created>
  <dcterms:modified xsi:type="dcterms:W3CDTF">2025-01-02T16:33:27Z</dcterms:modified>
</cp:coreProperties>
</file>