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September 6,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STEREOTAXIS,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580" w:type="dxa"/>
        <w:tblCellMar>
          <w:top w:w="0" w:type="dxa"/>
          <w:left w:w="0" w:type="dxa"/>
          <w:bottom w:w="0" w:type="dxa"/>
          <w:right w:w="0" w:type="dxa"/>
        </w:tblCellMar>
      </w:tblPr>
      <w:tr>
        <w:trPr>
          <w:trHeight w:val="220"/>
        </w:trPr>
        <w:tc>
          <w:tcPr>
            <w:tcW w:w="430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94-3120386</w:t>
            </w:r>
          </w:p>
        </w:tc>
      </w:tr>
      <w:tr>
        <w:trPr>
          <w:trHeight w:val="216"/>
        </w:trPr>
        <w:tc>
          <w:tcPr>
            <w:tcW w:w="430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2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30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2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710 North Tucker Boulevard, Suite 110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 Louis, Missouri 63101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left="340" w:right="25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Stereotaxis, Inc. 2022 Stock Incentive Plan, as Amended and Restated Stereotaxis, Inc. 2022 Employee Stock Purchase Plan, as Amended and Restated </w:t>
      </w:r>
      <w:r>
        <w:rPr>
          <w:rFonts w:ascii="Times New Roman" w:cs="Times New Roman" w:eastAsia="Times New Roman" w:hAnsi="Times New Roman"/>
          <w:sz w:val="18"/>
          <w:szCs w:val="18"/>
          <w:color w:val="auto"/>
        </w:rPr>
        <w:t>(Full title of the plans)</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L. Fischel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Stereotaxis,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710 N. Tucker Blvd. Suite 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 Louis, Missouri 63101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678-6100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Robert J. Endicott,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Bryan Cave Leighton Paisner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Metropolitan Square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 North Broadway, Suite 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 Louis, Missouri 63102-2750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259-2000</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5" w:right="339" w:bottom="1440" w:gutter="0" w:footer="0" w:header="0"/>
        </w:sectPr>
      </w:pPr>
    </w:p>
    <w:p>
      <w:pPr>
        <w:spacing w:after="0" w:line="135" w:lineRule="exact"/>
        <w:rPr>
          <w:sz w:val="24"/>
          <w:szCs w:val="24"/>
          <w:color w:val="auto"/>
        </w:rPr>
      </w:pPr>
    </w:p>
    <w:p>
      <w:pPr>
        <w:ind w:left="5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45"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REVISION TO INCORPORATION BY REFERENCE</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Registrant is hereby filing this Post-Effective Amendment No. 1 to the Registration on Form S-8 (Registration No. 333-281767) originally filed on August 23, 2024 (as amended, the “Registration Statement”) to revise PART II, Item 3 (Incorporation of Documents by Reference) to include the Registrant’s Current Report on Form 8-K, filed on July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GENERAL INSTRUCTION E</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15, 2024, at the Annual Meeting of Shareholders of Stereotaxis, Inc. (the “Registrant” or “Company”), the shareholders of the Company approved an amendment (the “Incentive Plan Amendment”) to the 2022 Stock Incentive Plan (the “2022 Incentive Plan”), which the Company’s Board of Directors (the “Board”) had previously approved on February 15, 2024, subject to such shareholder approval. The 2022 Incentive Plan was originally adopted by the Board on February 3, 2022, and the Compensation Committee of the Board of Directors, on February 27, 2022, further revised the Plan, and the Plan was approved by our shareholders on May 19, 2022.</w:t>
      </w:r>
    </w:p>
    <w:p>
      <w:pPr>
        <w:spacing w:after="0" w:line="183" w:lineRule="exact"/>
        <w:rPr>
          <w:sz w:val="20"/>
          <w:szCs w:val="20"/>
          <w:color w:val="auto"/>
        </w:rPr>
      </w:pPr>
    </w:p>
    <w:p>
      <w:pPr>
        <w:jc w:val="both"/>
        <w:ind w:firstLine="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Incentive Plan Amendment provides for an increase in the number of shares authorized for issuance under the 2022 Incentive Plan by 4,000,000 shares. Previously, 4,107,114 shares were authorized under the 2022 Incentive Plan and registered under the Securities Act of 1933, as amended (the “Securities Act”), pursuant to a registration statement on Form S-8 previously filed on </w:t>
      </w:r>
      <w:hyperlink r:id="rId14">
        <w:r>
          <w:rPr>
            <w:rFonts w:ascii="Times New Roman" w:cs="Times New Roman" w:eastAsia="Times New Roman" w:hAnsi="Times New Roman"/>
            <w:sz w:val="18"/>
            <w:szCs w:val="18"/>
            <w:u w:val="single" w:color="auto"/>
            <w:color w:val="0000EE"/>
          </w:rPr>
          <w:t>August 11,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No. 333-266776) (the “Previous S-8”), which remains in full force and effect.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15, 2024, at the Annual Meeting of Shareholders of the Company, the shareholders of the Company approved an amendment (the “ESPP Amendment”) to the 2022 Employee Stock Purchase Plan (the “2022 ESPP”), which the Board had previously approved on February 15, 2024, subject to such shareholder approval. The 2022 ESPP was originally adopted by the Board on February 3, 2022, and the Compensation Committee of the Board of Directors, on February 27, 2022, further revised the Plan, and the Plan was and approved by our shareholders on May 19, 2022.</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ESPP Amendment provides for an increase in the number of shares authorized for issuance under the 2022 ESPP by 250,000 shares. Previously, 203,366 shares were authorized under the 2022 ESPP and registered under the Securities Act pursuant to the Previous S-8, which remains in full force and effect.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filing this Registration Statement to register under the Securities Act (i) an additional 4,000,000 shares of the Company’s Common Stock issuable under the 2022 Incentive Plan pursuant to the Incentive Plan Amendment and (ii) an additional 250,000 shares of the Company’s Common Stock issuable under the 2022 ESPP pursuant to the ESPP Amendment. These additional shares to be registered by this Registration Statement are of the same class as those securities covered by the Previous S-8. Pursuant to General Instruction E to Form S-8, the contents of the Previous S-8 are incorporated herein by reference and this Registration Statement is only required to include those items specified by such instruction with respect to the 2022 Incentive Plan and the 2022 ESPP.</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made herein to “the Company,” “the Registrant,” “we,” “us,” “our” and “ours” refer to Stereotaxis, Inc. and its consolidated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permitted by the rules of the Securities Exchange Commission (“SEC”), this Registration Statement omits the information specified in Part I of Form S-8. The documents containing the information specified in Part I of this Registration Statement will be sent or given to eligible employees as specified by Rule 428(b) promulgated under the Securities Act. Such documents are not being filed with the SEC either as part of this Registration Statement or as prospectuses or prospectus supplements pursuant to Rule 424 promulgated under the Securities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documents listed in (a) through (d) below, which are on file with the SEC, are incorporated herein by reference (except for the portions of the Registrant’s Current Reports on Form 8-K furnished pursuant to Item 2.02 or Item 7.01 thereof or otherwise not filed with the SEC which are deemed not to be incorporated by reference into this Registration Statement):</w:t>
      </w:r>
    </w:p>
    <w:p>
      <w:pPr>
        <w:spacing w:after="0" w:line="176" w:lineRule="exact"/>
        <w:rPr>
          <w:sz w:val="20"/>
          <w:szCs w:val="20"/>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filed on </w:t>
      </w:r>
      <w:hyperlink r:id="rId1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8, 2024;</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Reports filed on Form 10-Q for the quarterly period ended </w:t>
      </w:r>
      <w:hyperlink r:id="rId17">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filed with the SEC on May 15, 2024, and for the quarterly period ended </w:t>
      </w:r>
      <w:hyperlink r:id="rId18">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filed with the SEC on August 14, 2024;</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SEC on </w:t>
      </w:r>
      <w:hyperlink r:id="rId19">
        <w:r>
          <w:rPr>
            <w:rFonts w:ascii="Times New Roman" w:cs="Times New Roman" w:eastAsia="Times New Roman" w:hAnsi="Times New Roman"/>
            <w:sz w:val="18"/>
            <w:szCs w:val="18"/>
            <w:u w:val="single" w:color="auto"/>
            <w:color w:val="0000EE"/>
          </w:rPr>
          <w:t>May 13, 2024</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May 16, 2024</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July 18,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EE"/>
          </w:rPr>
          <w:t>August 2, 2024</w:t>
        </w:r>
      </w:hyperlink>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2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dated September 4, 2019, registering the Registrant’s common stock under Section 12(b) of the Securities Exchange Act of 1934, as amended (the “Exchange Act”), as amended by the Description of Registrant’s securities registered pursuant to Section 12 of the Securities Exchange Act of 1934, filed as </w:t>
      </w:r>
      <w:hyperlink r:id="rId24">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Registrant’s Form 10-K (File No. 001-36159) filed on March 8, 2024, and any further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all documents subsequently filed by the Registrant with the Commission pursuant to Sections 13(a), 13(c), 14 and 15(d) of the Exchange Act (other than those made pursuant to Item 2.02 or Item 7.01 of Form 8-K or other information “furnished” to the Commission)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 These documents include periodic reports, such as Proxy Statements, Annual Reports on Form 10-K, Quarterly Reports on Form 10-Q and Current Reports on Form 8-K (other than the portions of those documents not deemed to be filed, which is deemed not to be incorporated by reference in this Registration Statement). Any statement contained in a document incorporated or deemed to be incorporated herein by reference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w:t>
      </w:r>
    </w:p>
    <w:p>
      <w:pPr>
        <w:spacing w:after="0" w:line="18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to be offered are registered under Section 12 of the Exchange Act and, accordingly, no description is provided hereunder.</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rFonts w:ascii="Times New Roman" w:cs="Times New Roman" w:eastAsia="Times New Roman" w:hAnsi="Times New Roman"/>
          <w:sz w:val="18"/>
          <w:szCs w:val="18"/>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as amended, provides that, to the fullest extent permitted by the Delaware General Corporation Law as the same exists or may hereafter be amended, our directors shall not be liable to the Registrant or our stockholders for monetary damages for breach of fiduciary duty as a director. In addition, our amended and restated Certificate of Incorporation provides that we may, to the fullest extent permitted by law, indemnify any person made or threatened to be made a party to an action, suit or proceeding, whether criminal, civil, administrative or investigative, by reason of the fact that such person or his or her testator or intestate is or was a director, officer or employee of the Registrant, or any predecessor of the Registrant, or serves or served at any other enterprise as a director, officer or employee at the request of the Registrant.</w:t>
      </w:r>
    </w:p>
    <w:p>
      <w:pPr>
        <w:spacing w:after="0" w:line="18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amended and restated Bylaws provide that the Registrant shall indemnify our directors and officers to the fullest extent not prohibited by the Delaware General Corporation Law or any other law. We are not required to indemnify any director or officer in connection with a proceeding brought by such director or officer unless (i) such indemnification is expressly required by law; (ii) the proceeding was authorized by our board of directors; or (iii) such indemnification is provided by the Registrant, in its sole discretion, pursuant to the powers vested in the Registrant under the Delaware General Corporation Law or any other applicable law. In addition, our amended and restated Bylaws provide that the Registrant may indemnify its employees and other agents as set forth in the Delaware General Corporation Law or any other applicable law.</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also entered into separate indemnification agreements with our directors and officers that require us, among other things, to indemnify each of them against certain liabilities that may arise by reason of their status or service with the Registrant or on behalf of the Registrant, other than liabilities arising from willful misconduct of a culpable nature. The Registrant is not required to indemnify under the agreement for (i) actions initiated by the director without the authorization of consent of the board of directors; (ii) actions initiated to enforce the indemnification agreement unless the director is successful; (iii) actions resulting from violations of Section 16 of the Exchange Act in which a final judgment has been rendered against the director; and (iv) actions to enforce any non-compete or non-disclosure provisions of any agreement.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indemnification provided for above provides for reimbursement of all losses of the indemnified party, including expenses, judgment, fines and amounts paid in settlement. The right to indemnification set forth above includes the right for us to pay the expenses (including attorneys’ fees) incurred in defending any such proceeding in advance of its final disposition in certain circumstances.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Delaware General Corporation Law provides that indemnification is permissible only when the director, officer, employee, or agent acted in good faith and in a manner reasonably believed to be in or not opposed to the best interests of the corporation, and, with respect to any criminal action or proceeding, had no reasonable cause to believe the conduct was unlawful. The Delaware General Corporation Law also precludes indemnification in respect of any claim, issue, or matter as to which an officer, director, employee, or agent shall have been adjudged to be liable to the corporation unless and only to the extent that the Court of Chancery of the State of Delaware or the court in which such action or suit was brought shall determine that, despite such adjudication of liability, but in view of all the circumstances of the case, such person is fairly and reasonably entitled to indemnity for such expenses which the Court of Chancery or such other court deems proper.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 or incorporated by reference into this registration statement on Form S-8.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38"/>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13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4"/>
                <w:szCs w:val="14"/>
                <w:color w:val="auto"/>
              </w:rPr>
            </w:pPr>
          </w:p>
        </w:tc>
        <w:tc>
          <w:tcPr>
            <w:tcW w:w="9820" w:type="dxa"/>
            <w:vAlign w:val="bottom"/>
            <w:tcBorders>
              <w:top w:val="single" w:sz="8" w:color="auto"/>
            </w:tcBorders>
            <w:gridSpan w:val="8"/>
          </w:tcPr>
          <w:p>
            <w:pPr>
              <w:spacing w:after="0" w:line="169"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Opinion of Bryan Cave Leighton Paisner LLP</w:t>
              </w:r>
            </w:hyperlink>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17"/>
                <w:szCs w:val="17"/>
                <w:color w:val="auto"/>
              </w:rPr>
            </w:pPr>
          </w:p>
        </w:tc>
        <w:tc>
          <w:tcPr>
            <w:tcW w:w="4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Stereotaxis, Inc. 2022 Stock Incentive Plan, as amended and restated</w:t>
              </w:r>
            </w:hyperlink>
          </w:p>
        </w:tc>
        <w:tc>
          <w:tcPr>
            <w:tcW w:w="4860" w:type="dxa"/>
            <w:vAlign w:val="bottom"/>
            <w:gridSpan w:val="4"/>
          </w:tcPr>
          <w:p>
            <w:pPr>
              <w:spacing w:after="0"/>
              <w:rPr>
                <w:sz w:val="17"/>
                <w:szCs w:val="17"/>
                <w:color w:val="auto"/>
              </w:rPr>
            </w:pPr>
          </w:p>
        </w:tc>
      </w:tr>
      <w:tr>
        <w:trPr>
          <w:trHeight w:val="196"/>
        </w:trPr>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17"/>
                <w:szCs w:val="17"/>
                <w:color w:val="auto"/>
              </w:rPr>
            </w:pPr>
          </w:p>
        </w:tc>
        <w:tc>
          <w:tcPr>
            <w:tcW w:w="9820" w:type="dxa"/>
            <w:vAlign w:val="bottom"/>
            <w:gridSpan w:val="8"/>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Stereotaxis, Inc. 2022 Employee Stock Purchase Plan, as amended and restated</w:t>
              </w:r>
            </w:hyperlink>
          </w:p>
        </w:tc>
      </w:tr>
      <w:tr>
        <w:trPr>
          <w:trHeight w:val="196"/>
        </w:trPr>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23.1*</w:t>
            </w:r>
          </w:p>
        </w:tc>
        <w:tc>
          <w:tcPr>
            <w:tcW w:w="120" w:type="dxa"/>
            <w:vAlign w:val="bottom"/>
          </w:tcPr>
          <w:p>
            <w:pPr>
              <w:spacing w:after="0"/>
              <w:rPr>
                <w:sz w:val="17"/>
                <w:szCs w:val="17"/>
                <w:color w:val="auto"/>
              </w:rPr>
            </w:pPr>
          </w:p>
        </w:tc>
        <w:tc>
          <w:tcPr>
            <w:tcW w:w="57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Consent of Ernst &amp; Young LLP, Independent Registered Public Accountants</w:t>
              </w:r>
            </w:hyperlink>
          </w:p>
        </w:tc>
        <w:tc>
          <w:tcPr>
            <w:tcW w:w="4120" w:type="dxa"/>
            <w:vAlign w:val="bottom"/>
          </w:tcPr>
          <w:p>
            <w:pPr>
              <w:spacing w:after="0"/>
              <w:rPr>
                <w:sz w:val="17"/>
                <w:szCs w:val="17"/>
                <w:color w:val="auto"/>
              </w:rPr>
            </w:pPr>
          </w:p>
        </w:tc>
      </w:tr>
      <w:tr>
        <w:trPr>
          <w:trHeight w:val="196"/>
        </w:trPr>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23.2*</w:t>
            </w:r>
          </w:p>
        </w:tc>
        <w:tc>
          <w:tcPr>
            <w:tcW w:w="12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Consent of Bryan Cave Leighton Paisner LLP (contained in Exhibit 5.1)</w:t>
              </w:r>
            </w:hyperlink>
          </w:p>
        </w:tc>
        <w:tc>
          <w:tcPr>
            <w:tcW w:w="280" w:type="dxa"/>
            <w:vAlign w:val="bottom"/>
            <w:tcBorders>
              <w:top w:val="single" w:sz="8" w:color="0000EE"/>
            </w:tcBorders>
          </w:tcPr>
          <w:p>
            <w:pPr>
              <w:spacing w:after="0"/>
              <w:rPr>
                <w:sz w:val="17"/>
                <w:szCs w:val="17"/>
                <w:color w:val="auto"/>
              </w:rPr>
            </w:pPr>
          </w:p>
        </w:tc>
        <w:tc>
          <w:tcPr>
            <w:tcW w:w="4320" w:type="dxa"/>
            <w:vAlign w:val="bottom"/>
            <w:gridSpan w:val="2"/>
          </w:tcPr>
          <w:p>
            <w:pPr>
              <w:spacing w:after="0"/>
              <w:rPr>
                <w:sz w:val="17"/>
                <w:szCs w:val="17"/>
                <w:color w:val="auto"/>
              </w:rPr>
            </w:pPr>
          </w:p>
        </w:tc>
      </w:tr>
      <w:tr>
        <w:trPr>
          <w:trHeight w:val="196"/>
        </w:trPr>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24.1*</w:t>
            </w:r>
          </w:p>
        </w:tc>
        <w:tc>
          <w:tcPr>
            <w:tcW w:w="120" w:type="dxa"/>
            <w:vAlign w:val="bottom"/>
          </w:tcPr>
          <w:p>
            <w:pPr>
              <w:spacing w:after="0"/>
              <w:rPr>
                <w:sz w:val="17"/>
                <w:szCs w:val="17"/>
                <w:color w:val="auto"/>
              </w:rPr>
            </w:pPr>
          </w:p>
        </w:tc>
        <w:tc>
          <w:tcPr>
            <w:tcW w:w="9820" w:type="dxa"/>
            <w:vAlign w:val="bottom"/>
            <w:gridSpan w:val="8"/>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Power of Attorney</w:t>
              </w:r>
            </w:hyperlink>
          </w:p>
        </w:tc>
      </w:tr>
      <w:tr>
        <w:trPr>
          <w:trHeight w:val="196"/>
        </w:trPr>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17"/>
                <w:szCs w:val="17"/>
                <w:color w:val="auto"/>
              </w:rPr>
            </w:pPr>
          </w:p>
        </w:tc>
        <w:tc>
          <w:tcPr>
            <w:tcW w:w="13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Filing Fee Table</w:t>
              </w:r>
            </w:hyperlink>
          </w:p>
        </w:tc>
        <w:tc>
          <w:tcPr>
            <w:tcW w:w="8480" w:type="dxa"/>
            <w:vAlign w:val="bottom"/>
            <w:gridSpan w:val="6"/>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filed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578"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1626"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registrant pursuant to Section 13 and Section 15(d) of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660" w:hanging="4"/>
        <w:spacing w:after="0" w:line="266" w:lineRule="auto"/>
        <w:tabs>
          <w:tab w:leader="none" w:pos="92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4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1300" w:firstLine="4"/>
        <w:spacing w:after="0" w:line="282" w:lineRule="auto"/>
        <w:tabs>
          <w:tab w:leader="none" w:pos="1521"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of the Securities Act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1300" w:firstLine="4"/>
        <w:spacing w:after="0" w:line="253" w:lineRule="auto"/>
        <w:tabs>
          <w:tab w:leader="none" w:pos="1587"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of the Securities Act as part of this registration statement in reliance on Rule 430B relating to an offering made pursuant to Rule 415(a)(1)(i), (vii), or (x) for the purpose of providing the information required by Section 10(a) of the Securities Act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this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189" w:lineRule="exact"/>
        <w:rPr>
          <w:rFonts w:ascii="Times New Roman" w:cs="Times New Roman" w:eastAsia="Times New Roman" w:hAnsi="Times New Roman"/>
          <w:sz w:val="18"/>
          <w:szCs w:val="18"/>
          <w:color w:val="auto"/>
        </w:rPr>
      </w:pPr>
    </w:p>
    <w:p>
      <w:pPr>
        <w:jc w:val="both"/>
        <w:ind w:firstLine="8"/>
        <w:spacing w:after="0" w:line="258" w:lineRule="auto"/>
        <w:tabs>
          <w:tab w:leader="none" w:pos="2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St. Louis, State of Missouri, on September 6, 2024.</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STEREOTAXIS,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L. Fischel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L. Fischel</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Title(s)</w:t>
            </w:r>
          </w:p>
        </w:tc>
        <w:tc>
          <w:tcPr>
            <w:tcW w:w="2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i w:val="1"/>
                <w:iCs w:val="1"/>
                <w:color w:val="auto"/>
                <w:w w:val="99"/>
              </w:rPr>
              <w:t>/s/ David L. Fischel</w:t>
            </w:r>
          </w:p>
        </w:tc>
        <w:tc>
          <w:tcPr>
            <w:tcW w:w="60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6, 2024</w:t>
            </w:r>
          </w:p>
        </w:tc>
      </w:tr>
      <w:tr>
        <w:trPr>
          <w:trHeight w:val="232"/>
        </w:trPr>
        <w:tc>
          <w:tcPr>
            <w:tcW w:w="380" w:type="dxa"/>
            <w:vAlign w:val="bottom"/>
          </w:tcPr>
          <w:p>
            <w:pPr>
              <w:spacing w:after="0"/>
              <w:rPr>
                <w:sz w:val="20"/>
                <w:szCs w:val="20"/>
                <w:color w:val="auto"/>
              </w:rPr>
            </w:pPr>
          </w:p>
        </w:tc>
        <w:tc>
          <w:tcPr>
            <w:tcW w:w="30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David L. Fischel</w:t>
            </w:r>
          </w:p>
        </w:tc>
        <w:tc>
          <w:tcPr>
            <w:tcW w:w="60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00" w:type="dxa"/>
            <w:vAlign w:val="bottom"/>
          </w:tcPr>
          <w:p>
            <w:pPr>
              <w:spacing w:after="0"/>
              <w:rPr>
                <w:sz w:val="20"/>
                <w:szCs w:val="20"/>
                <w:color w:val="auto"/>
              </w:rPr>
            </w:pPr>
          </w:p>
        </w:tc>
      </w:tr>
      <w:tr>
        <w:trPr>
          <w:trHeight w:val="410"/>
        </w:trPr>
        <w:tc>
          <w:tcPr>
            <w:tcW w:w="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i w:val="1"/>
                <w:iCs w:val="1"/>
                <w:color w:val="auto"/>
              </w:rPr>
              <w:t>/s/ Kimberly R. Peery</w:t>
            </w:r>
          </w:p>
        </w:tc>
        <w:tc>
          <w:tcPr>
            <w:tcW w:w="60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6, 2024</w:t>
            </w:r>
          </w:p>
        </w:tc>
      </w:tr>
      <w:tr>
        <w:trPr>
          <w:trHeight w:val="232"/>
        </w:trPr>
        <w:tc>
          <w:tcPr>
            <w:tcW w:w="380" w:type="dxa"/>
            <w:vAlign w:val="bottom"/>
          </w:tcPr>
          <w:p>
            <w:pPr>
              <w:spacing w:after="0"/>
              <w:rPr>
                <w:sz w:val="20"/>
                <w:szCs w:val="20"/>
                <w:color w:val="auto"/>
              </w:rPr>
            </w:pPr>
          </w:p>
        </w:tc>
        <w:tc>
          <w:tcPr>
            <w:tcW w:w="30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Kimberly R. Peery</w:t>
            </w:r>
          </w:p>
        </w:tc>
        <w:tc>
          <w:tcPr>
            <w:tcW w:w="60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800" w:type="dxa"/>
            <w:vAlign w:val="bottom"/>
          </w:tcPr>
          <w:p>
            <w:pPr>
              <w:spacing w:after="0"/>
              <w:rPr>
                <w:sz w:val="20"/>
                <w:szCs w:val="20"/>
                <w:color w:val="auto"/>
              </w:rPr>
            </w:pPr>
          </w:p>
        </w:tc>
      </w:tr>
      <w:tr>
        <w:trPr>
          <w:trHeight w:val="410"/>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6, 2024</w:t>
            </w:r>
          </w:p>
        </w:tc>
      </w:tr>
      <w:tr>
        <w:trPr>
          <w:trHeight w:val="232"/>
        </w:trPr>
        <w:tc>
          <w:tcPr>
            <w:tcW w:w="380" w:type="dxa"/>
            <w:vAlign w:val="bottom"/>
          </w:tcPr>
          <w:p>
            <w:pPr>
              <w:spacing w:after="0"/>
              <w:rPr>
                <w:sz w:val="20"/>
                <w:szCs w:val="20"/>
                <w:color w:val="auto"/>
              </w:rPr>
            </w:pPr>
          </w:p>
        </w:tc>
        <w:tc>
          <w:tcPr>
            <w:tcW w:w="30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David W. Benfer</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0"/>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6, 2024</w:t>
            </w:r>
          </w:p>
        </w:tc>
      </w:tr>
      <w:tr>
        <w:trPr>
          <w:trHeight w:val="232"/>
        </w:trPr>
        <w:tc>
          <w:tcPr>
            <w:tcW w:w="380" w:type="dxa"/>
            <w:vAlign w:val="bottom"/>
          </w:tcPr>
          <w:p>
            <w:pPr>
              <w:spacing w:after="0"/>
              <w:rPr>
                <w:sz w:val="20"/>
                <w:szCs w:val="20"/>
                <w:color w:val="auto"/>
              </w:rPr>
            </w:pPr>
          </w:p>
        </w:tc>
        <w:tc>
          <w:tcPr>
            <w:tcW w:w="30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Myriam Curet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0"/>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6, 2024</w:t>
            </w:r>
          </w:p>
        </w:tc>
      </w:tr>
      <w:tr>
        <w:trPr>
          <w:trHeight w:val="232"/>
        </w:trPr>
        <w:tc>
          <w:tcPr>
            <w:tcW w:w="380" w:type="dxa"/>
            <w:vAlign w:val="bottom"/>
          </w:tcPr>
          <w:p>
            <w:pPr>
              <w:spacing w:after="0"/>
              <w:rPr>
                <w:sz w:val="20"/>
                <w:szCs w:val="20"/>
                <w:color w:val="auto"/>
              </w:rPr>
            </w:pPr>
          </w:p>
        </w:tc>
        <w:tc>
          <w:tcPr>
            <w:tcW w:w="30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Nathan Fischel</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0"/>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6, 2024</w:t>
            </w:r>
          </w:p>
        </w:tc>
      </w:tr>
      <w:tr>
        <w:trPr>
          <w:trHeight w:val="232"/>
        </w:trPr>
        <w:tc>
          <w:tcPr>
            <w:tcW w:w="380" w:type="dxa"/>
            <w:vAlign w:val="bottom"/>
          </w:tcPr>
          <w:p>
            <w:pPr>
              <w:spacing w:after="0"/>
              <w:rPr>
                <w:sz w:val="20"/>
                <w:szCs w:val="20"/>
                <w:color w:val="auto"/>
              </w:rPr>
            </w:pPr>
          </w:p>
        </w:tc>
        <w:tc>
          <w:tcPr>
            <w:tcW w:w="30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Ross B. Levin</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0"/>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6, 2024</w:t>
            </w:r>
          </w:p>
        </w:tc>
      </w:tr>
      <w:tr>
        <w:trPr>
          <w:trHeight w:val="232"/>
        </w:trPr>
        <w:tc>
          <w:tcPr>
            <w:tcW w:w="380" w:type="dxa"/>
            <w:vAlign w:val="bottom"/>
          </w:tcPr>
          <w:p>
            <w:pPr>
              <w:spacing w:after="0"/>
              <w:rPr>
                <w:sz w:val="20"/>
                <w:szCs w:val="20"/>
                <w:color w:val="auto"/>
              </w:rPr>
            </w:pPr>
          </w:p>
        </w:tc>
        <w:tc>
          <w:tcPr>
            <w:tcW w:w="30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Arun S. Menawat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0"/>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6, 2024</w:t>
            </w:r>
          </w:p>
        </w:tc>
      </w:tr>
      <w:tr>
        <w:trPr>
          <w:trHeight w:val="232"/>
        </w:trPr>
        <w:tc>
          <w:tcPr>
            <w:tcW w:w="380" w:type="dxa"/>
            <w:vAlign w:val="bottom"/>
          </w:tcPr>
          <w:p>
            <w:pPr>
              <w:spacing w:after="0"/>
              <w:rPr>
                <w:sz w:val="20"/>
                <w:szCs w:val="20"/>
                <w:color w:val="auto"/>
              </w:rPr>
            </w:pPr>
          </w:p>
        </w:tc>
        <w:tc>
          <w:tcPr>
            <w:tcW w:w="30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Nachum “Homi” Shamir</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0"/>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w:t>
            </w:r>
            <w:r>
              <w:rPr>
                <w:rFonts w:ascii="Times New Roman" w:cs="Times New Roman" w:eastAsia="Times New Roman" w:hAnsi="Times New Roman"/>
                <w:sz w:val="18"/>
                <w:szCs w:val="18"/>
                <w:b w:val="1"/>
                <w:bCs w:val="1"/>
                <w:i w:val="1"/>
                <w:iCs w:val="1"/>
                <w:color w:val="auto"/>
              </w:rPr>
              <w:t>/s/ Kimberly R. Peery</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7"/>
        </w:trPr>
        <w:tc>
          <w:tcPr>
            <w:tcW w:w="380" w:type="dxa"/>
            <w:vAlign w:val="bottom"/>
          </w:tcPr>
          <w:p>
            <w:pPr>
              <w:spacing w:after="0"/>
              <w:rPr>
                <w:sz w:val="16"/>
                <w:szCs w:val="16"/>
                <w:color w:val="auto"/>
              </w:rPr>
            </w:pPr>
          </w:p>
        </w:tc>
        <w:tc>
          <w:tcPr>
            <w:tcW w:w="30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Kimberly R. Peery</w:t>
            </w:r>
          </w:p>
        </w:tc>
        <w:tc>
          <w:tcPr>
            <w:tcW w:w="24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38"/>
        </w:trPr>
        <w:tc>
          <w:tcPr>
            <w:tcW w:w="38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2"/>
        </w:trPr>
        <w:tc>
          <w:tcPr>
            <w:tcW w:w="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3"/>
          </w:tcPr>
          <w:p>
            <w:pPr>
              <w:ind w:left="22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AE8944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3">
    <w:nsid w:val="625558E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25"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png"/><Relationship Id="rId14" Type="http://schemas.openxmlformats.org/officeDocument/2006/relationships/hyperlink" Target="https://www.sec.gov/Archives/edgar/data/1289340/000149315222022039/forms-8.htm" TargetMode="External"/><Relationship Id="rId16" Type="http://schemas.openxmlformats.org/officeDocument/2006/relationships/hyperlink" Target="https://www.sec.gov/Archives/edgar/data/1289340/000149315224009371/form10-k.htm" TargetMode="External"/><Relationship Id="rId17" Type="http://schemas.openxmlformats.org/officeDocument/2006/relationships/hyperlink" Target="https://www.sec.gov/Archives/edgar/data/1289340/000149315224019608/form10-q.htm" TargetMode="External"/><Relationship Id="rId18" Type="http://schemas.openxmlformats.org/officeDocument/2006/relationships/hyperlink" Target="https://www.sec.gov/Archives/edgar/data/1289340/000149315224032047/form10-q.htm" TargetMode="External"/><Relationship Id="rId19" Type="http://schemas.openxmlformats.org/officeDocument/2006/relationships/hyperlink" Target="https://www.sec.gov/Archives/edgar/data/1289340/000149315224018881/form8-k.htm" TargetMode="External"/><Relationship Id="rId20" Type="http://schemas.openxmlformats.org/officeDocument/2006/relationships/hyperlink" Target="https://www.sec.gov/Archives/edgar/data/1289340/000149315224020281/form8-k.htm" TargetMode="External"/><Relationship Id="rId21" Type="http://schemas.openxmlformats.org/officeDocument/2006/relationships/hyperlink" Target="https://www.sec.gov/Archives/edgar/data/1289340/000149315224028364/form8-k.htm" TargetMode="External"/><Relationship Id="rId22" Type="http://schemas.openxmlformats.org/officeDocument/2006/relationships/hyperlink" Target="https://www.sec.gov/Archives/edgar/data/1289340/000149315224029986/form8-k.htm" TargetMode="External"/><Relationship Id="rId23" Type="http://schemas.openxmlformats.org/officeDocument/2006/relationships/hyperlink" Target="https://www.sec.gov/Archives/edgar/data/1289340/000149315219013653/form8a-12b.htm" TargetMode="External"/><Relationship Id="rId24" Type="http://schemas.openxmlformats.org/officeDocument/2006/relationships/hyperlink" Target="https://www.sec.gov/Archives/edgar/data/1289340/000149315220006113/ex4-7.htm" TargetMode="External"/><Relationship Id="rId26" Type="http://schemas.openxmlformats.org/officeDocument/2006/relationships/hyperlink" Target="https://www.sec.gov/Archives/edgar/data/1289340/000149315224033760/ex5-1.htm" TargetMode="External"/><Relationship Id="rId27" Type="http://schemas.openxmlformats.org/officeDocument/2006/relationships/hyperlink" Target="https://www.sec.gov/Archives/edgar/data/1289340/000149315224033760/ex10-1.htm" TargetMode="External"/><Relationship Id="rId28" Type="http://schemas.openxmlformats.org/officeDocument/2006/relationships/hyperlink" Target="https://www.sec.gov/Archives/edgar/data/1289340/000149315224033760/ex10-2.htm" TargetMode="External"/><Relationship Id="rId29" Type="http://schemas.openxmlformats.org/officeDocument/2006/relationships/hyperlink" Target="https://www.sec.gov/Archives/edgar/data/1289340/000149315224033760/ex23-1.htm" TargetMode="External"/><Relationship Id="rId30" Type="http://schemas.openxmlformats.org/officeDocument/2006/relationships/hyperlink" Target="https://www.sec.gov/Archives/edgar/data/1289340/000149315224033760/ex24-1.htm" TargetMode="External"/><Relationship Id="rId31" Type="http://schemas.openxmlformats.org/officeDocument/2006/relationships/hyperlink" Target="https://www.sec.gov/Archives/edgar/data/1289340/000149315224033760/ex10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2024-09-06T15:13:35Z</dcterms:created>
  <dcterms:modified xsi:type="dcterms:W3CDTF">2024-09-06T15:13:35Z</dcterms:modified>
</cp:coreProperties>
</file>