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660" w:right="1440" w:hanging="652"/>
        <w:spacing w:after="0" w:line="500"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ind w:left="660"/>
              <w:spacing w:after="0"/>
              <w:rPr>
                <w:sz w:val="20"/>
                <w:szCs w:val="20"/>
                <w:color w:val="auto"/>
              </w:rPr>
            </w:pPr>
            <w:r>
              <w:rPr>
                <w:rFonts w:ascii="Arial" w:cs="Arial" w:eastAsia="Arial" w:hAnsi="Arial"/>
                <w:sz w:val="18"/>
                <w:szCs w:val="18"/>
                <w:b w:val="1"/>
                <w:bCs w:val="1"/>
                <w:color w:val="auto"/>
              </w:rPr>
              <w:t>FOR THE TRANSITION PERIOD FROM</w:t>
            </w:r>
          </w:p>
        </w:tc>
        <w:tc>
          <w:tcPr>
            <w:tcW w:w="7220" w:type="dxa"/>
            <w:vAlign w:val="bottom"/>
            <w:gridSpan w:val="3"/>
          </w:tcPr>
          <w:p>
            <w:pPr>
              <w:ind w:left="680"/>
              <w:spacing w:after="0"/>
              <w:rPr>
                <w:sz w:val="20"/>
                <w:szCs w:val="20"/>
                <w:color w:val="auto"/>
              </w:rPr>
            </w:pPr>
            <w:r>
              <w:rPr>
                <w:rFonts w:ascii="Arial" w:cs="Arial" w:eastAsia="Arial" w:hAnsi="Arial"/>
                <w:sz w:val="18"/>
                <w:szCs w:val="18"/>
                <w:b w:val="1"/>
                <w:bCs w:val="1"/>
                <w:color w:val="auto"/>
              </w:rPr>
              <w:t>TO</w:t>
            </w:r>
          </w:p>
        </w:tc>
      </w:tr>
      <w:tr>
        <w:trPr>
          <w:trHeight w:val="432"/>
        </w:trPr>
        <w:tc>
          <w:tcPr>
            <w:tcW w:w="1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COMMISSION FILE NUMBER 001-36159</w:t>
            </w:r>
          </w:p>
        </w:tc>
      </w:tr>
      <w:tr>
        <w:trPr>
          <w:trHeight w:val="562"/>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32"/>
                <w:szCs w:val="32"/>
                <w:b w:val="1"/>
                <w:bCs w:val="1"/>
                <w:color w:val="auto"/>
              </w:rPr>
              <w:t>STEREOTAXIS, INC.</w:t>
            </w:r>
          </w:p>
        </w:tc>
      </w:tr>
      <w:tr>
        <w:trPr>
          <w:trHeight w:val="234"/>
        </w:trPr>
        <w:tc>
          <w:tcPr>
            <w:tcW w:w="1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(Exact name of the Registrant as Specified in its Charter)</w:t>
            </w:r>
          </w:p>
        </w:tc>
      </w:tr>
      <w:tr>
        <w:trPr>
          <w:trHeight w:val="439"/>
        </w:trPr>
        <w:tc>
          <w:tcPr>
            <w:tcW w:w="4020" w:type="dxa"/>
            <w:vAlign w:val="bottom"/>
          </w:tcPr>
          <w:p>
            <w:pPr>
              <w:jc w:val="center"/>
              <w:ind w:left="1430"/>
              <w:spacing w:after="0"/>
              <w:rPr>
                <w:sz w:val="20"/>
                <w:szCs w:val="20"/>
                <w:color w:val="auto"/>
              </w:rPr>
            </w:pPr>
            <w:r>
              <w:rPr>
                <w:rFonts w:ascii="Arial" w:cs="Arial" w:eastAsia="Arial" w:hAnsi="Arial"/>
                <w:sz w:val="18"/>
                <w:szCs w:val="18"/>
                <w:b w:val="1"/>
                <w:bCs w:val="1"/>
                <w:color w:val="auto"/>
                <w:w w:val="98"/>
              </w:rPr>
              <w:t>DELAWARE</w:t>
            </w:r>
          </w:p>
        </w:tc>
        <w:tc>
          <w:tcPr>
            <w:tcW w:w="7220" w:type="dxa"/>
            <w:vAlign w:val="bottom"/>
            <w:gridSpan w:val="3"/>
          </w:tcPr>
          <w:p>
            <w:pPr>
              <w:jc w:val="center"/>
              <w:ind w:left="1606"/>
              <w:spacing w:after="0"/>
              <w:rPr>
                <w:sz w:val="20"/>
                <w:szCs w:val="20"/>
                <w:color w:val="auto"/>
              </w:rPr>
            </w:pPr>
            <w:r>
              <w:rPr>
                <w:rFonts w:ascii="Arial" w:cs="Arial" w:eastAsia="Arial" w:hAnsi="Arial"/>
                <w:sz w:val="18"/>
                <w:szCs w:val="18"/>
                <w:b w:val="1"/>
                <w:bCs w:val="1"/>
                <w:color w:val="auto"/>
                <w:w w:val="89"/>
              </w:rPr>
              <w:t>94-3120386</w:t>
            </w:r>
          </w:p>
        </w:tc>
      </w:tr>
      <w:tr>
        <w:trPr>
          <w:trHeight w:val="198"/>
        </w:trPr>
        <w:tc>
          <w:tcPr>
            <w:tcW w:w="4020" w:type="dxa"/>
            <w:vAlign w:val="bottom"/>
            <w:tcBorders>
              <w:top w:val="single" w:sz="8" w:color="auto"/>
            </w:tcBorders>
          </w:tcPr>
          <w:p>
            <w:pPr>
              <w:jc w:val="center"/>
              <w:ind w:left="1410"/>
              <w:spacing w:after="0" w:line="198" w:lineRule="exact"/>
              <w:rPr>
                <w:sz w:val="20"/>
                <w:szCs w:val="20"/>
                <w:color w:val="auto"/>
              </w:rPr>
            </w:pPr>
            <w:r>
              <w:rPr>
                <w:rFonts w:ascii="Arial" w:cs="Arial" w:eastAsia="Arial" w:hAnsi="Arial"/>
                <w:sz w:val="18"/>
                <w:szCs w:val="18"/>
                <w:b w:val="1"/>
                <w:bCs w:val="1"/>
                <w:color w:val="auto"/>
                <w:w w:val="90"/>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02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710 North Tucker Boulevard, Suite 110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Louis, MO 63101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678-6100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STXS</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NYSE American LLC</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“See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6" w:right="339" w:bottom="1440" w:gutter="0" w:footer="0" w:header="0"/>
        </w:sectPr>
      </w:pPr>
    </w:p>
    <w:p>
      <w:pPr>
        <w:spacing w:after="0" w:line="13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4">
            <w:col w:w="2780" w:space="720"/>
            <w:col w:w="1940" w:space="720"/>
            <w:col w:w="1860" w:space="720"/>
            <w:col w:w="2500"/>
          </w:cols>
          <w:pgMar w:left="320" w:top="746"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746" w:right="339" w:bottom="1440" w:gutter="0" w:footer="0" w:header="0"/>
          <w:type w:val="continuous"/>
        </w:sectPr>
      </w:pPr>
    </w:p>
    <w:p>
      <w:pPr>
        <w:spacing w:after="0" w:line="206"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on October 31, 2023 was 80,884,561.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gridSpan w:val="4"/>
          </w:tcPr>
          <w:p>
            <w:pPr>
              <w:jc w:val="center"/>
              <w:ind w:right="2720"/>
              <w:spacing w:after="0"/>
              <w:rPr>
                <w:sz w:val="20"/>
                <w:szCs w:val="20"/>
                <w:color w:val="auto"/>
              </w:rPr>
            </w:pPr>
            <w:r>
              <w:rPr>
                <w:rFonts w:ascii="Arial" w:cs="Arial" w:eastAsia="Arial" w:hAnsi="Arial"/>
                <w:sz w:val="18"/>
                <w:szCs w:val="18"/>
                <w:b w:val="1"/>
                <w:bCs w:val="1"/>
                <w:color w:val="auto"/>
                <w:w w:val="99"/>
              </w:rPr>
              <w:t>STEREOTAXIS, INC.</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rPr>
              <w:t>INDEX TO FORM 10-Q</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89"/>
              </w:rPr>
              <w:t>Financial Statements (unaudited)</w:t>
            </w:r>
          </w:p>
        </w:tc>
        <w:tc>
          <w:tcPr>
            <w:tcW w:w="72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17"/>
          </w:tcPr>
          <w:p>
            <w:pPr>
              <w:spacing w:after="0" w:line="176" w:lineRule="exact"/>
              <w:rPr>
                <w:sz w:val="20"/>
                <w:szCs w:val="20"/>
                <w:color w:val="auto"/>
              </w:rPr>
            </w:pPr>
            <w:r>
              <w:rPr>
                <w:rFonts w:ascii="Arial" w:cs="Arial" w:eastAsia="Arial" w:hAnsi="Arial"/>
                <w:sz w:val="18"/>
                <w:szCs w:val="18"/>
                <w:color w:val="0000EE"/>
              </w:rPr>
              <w:t>Balance Sheets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88"/>
              </w:rPr>
              <w:t>Statements of Operations</w:t>
            </w:r>
          </w:p>
        </w:tc>
        <w:tc>
          <w:tcPr>
            <w:tcW w:w="78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17"/>
          </w:tcPr>
          <w:p>
            <w:pPr>
              <w:spacing w:after="0" w:line="176" w:lineRule="exact"/>
              <w:rPr>
                <w:sz w:val="20"/>
                <w:szCs w:val="20"/>
                <w:color w:val="auto"/>
              </w:rPr>
            </w:pPr>
            <w:r>
              <w:rPr>
                <w:rFonts w:ascii="Arial" w:cs="Arial" w:eastAsia="Arial" w:hAnsi="Arial"/>
                <w:sz w:val="18"/>
                <w:szCs w:val="18"/>
                <w:color w:val="0000EE"/>
              </w:rPr>
              <w:t>Statements of Convertible Preferred Stock and Stockholders’ Equity</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9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88"/>
              </w:rPr>
              <w:t>Statements of Cash Flows</w:t>
            </w:r>
          </w:p>
        </w:tc>
        <w:tc>
          <w:tcPr>
            <w:tcW w:w="77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17"/>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8-18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17"/>
          </w:tcPr>
          <w:p>
            <w:pPr>
              <w:spacing w:after="0" w:line="176" w:lineRule="exact"/>
              <w:rPr>
                <w:sz w:val="20"/>
                <w:szCs w:val="20"/>
                <w:color w:val="auto"/>
              </w:rPr>
            </w:pPr>
            <w:r>
              <w:rPr>
                <w:rFonts w:ascii="Arial" w:cs="Arial" w:eastAsia="Arial" w:hAnsi="Arial"/>
                <w:sz w:val="18"/>
                <w:szCs w:val="18"/>
                <w:color w:val="0000EE"/>
              </w:rPr>
              <w:t>[Reserved]</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Part II Other Information</w:t>
            </w: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828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17"/>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528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[Reserved]</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17"/>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540" w:type="dxa"/>
            <w:vAlign w:val="bottom"/>
            <w:tcBorders>
              <w:top w:val="single" w:sz="8" w:color="CCEEFF"/>
            </w:tcBorders>
          </w:tcPr>
          <w:p>
            <w:pPr>
              <w:spacing w:after="0"/>
              <w:rPr>
                <w:sz w:val="15"/>
                <w:szCs w:val="15"/>
                <w:color w:val="auto"/>
              </w:rPr>
            </w:pPr>
          </w:p>
        </w:tc>
        <w:tc>
          <w:tcPr>
            <w:tcW w:w="31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0"/>
        </w:trPr>
        <w:tc>
          <w:tcPr>
            <w:tcW w:w="76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5"/>
          </w:tcPr>
          <w:p>
            <w:pPr>
              <w:jc w:val="center"/>
              <w:ind w:left="4270"/>
              <w:spacing w:after="0"/>
              <w:rPr>
                <w:sz w:val="20"/>
                <w:szCs w:val="20"/>
                <w:color w:val="auto"/>
              </w:rPr>
            </w:pPr>
            <w:r>
              <w:rPr>
                <w:rFonts w:ascii="Arial" w:cs="Arial" w:eastAsia="Arial" w:hAnsi="Arial"/>
                <w:sz w:val="18"/>
                <w:szCs w:val="18"/>
                <w:color w:val="auto"/>
                <w:w w:val="79"/>
              </w:rPr>
              <w:t>2</w:t>
            </w:r>
          </w:p>
        </w:tc>
        <w:tc>
          <w:tcPr>
            <w:tcW w:w="15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STEREOTAXIS, INC.</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98"/>
              </w:rPr>
              <w:t>BALANCE SHEETS</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7440" w:type="dxa"/>
            <w:vAlign w:val="bottom"/>
          </w:tcPr>
          <w:p>
            <w:pPr>
              <w:spacing w:after="0"/>
              <w:rPr>
                <w:sz w:val="20"/>
                <w:szCs w:val="20"/>
                <w:color w:val="auto"/>
              </w:rPr>
            </w:pPr>
            <w:r>
              <w:rPr>
                <w:rFonts w:ascii="Arial" w:cs="Arial" w:eastAsia="Arial" w:hAnsi="Arial"/>
                <w:sz w:val="18"/>
                <w:szCs w:val="18"/>
                <w:i w:val="1"/>
                <w:iCs w:val="1"/>
                <w:color w:val="auto"/>
              </w:rPr>
              <w:t>(in thousands, except share amounts)</w:t>
            </w:r>
          </w:p>
        </w:tc>
        <w:tc>
          <w:tcPr>
            <w:tcW w:w="80" w:type="dxa"/>
            <w:vAlign w:val="bottom"/>
          </w:tcPr>
          <w:p>
            <w:pPr>
              <w:spacing w:after="0"/>
              <w:rPr>
                <w:sz w:val="24"/>
                <w:szCs w:val="24"/>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Pr>
          <w:p>
            <w:pPr>
              <w:spacing w:after="0"/>
              <w:rPr>
                <w:sz w:val="24"/>
                <w:szCs w:val="24"/>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December 31, 2022</w:t>
            </w:r>
          </w:p>
        </w:tc>
      </w:tr>
      <w:tr>
        <w:trPr>
          <w:trHeight w:val="216"/>
        </w:trPr>
        <w:tc>
          <w:tcPr>
            <w:tcW w:w="7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 current</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19,844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$596 and $235 at 2023 and 2022, respectively</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5,090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6,788</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7,876</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20"/>
                <w:szCs w:val="20"/>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c>
          <w:tcPr>
            <w:tcW w:w="80" w:type="dxa"/>
            <w:vAlign w:val="bottom"/>
          </w:tcPr>
          <w:p>
            <w:pPr>
              <w:spacing w:after="0"/>
              <w:rPr>
                <w:sz w:val="20"/>
                <w:szCs w:val="20"/>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3,831</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5,384</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non-current assets</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1"/>
                <w:szCs w:val="21"/>
                <w:color w:val="auto"/>
              </w:rPr>
            </w:pPr>
          </w:p>
        </w:tc>
      </w:tr>
      <w:tr>
        <w:trPr>
          <w:trHeight w:val="257"/>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44,528</w:t>
            </w:r>
          </w:p>
        </w:tc>
        <w:tc>
          <w:tcPr>
            <w:tcW w:w="3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53,413</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3,243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3,270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7,342</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13,032</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14,291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20,230</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21,484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Series A - Convertible preferred stock:</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Convertible preferred stock, Series A, par value $0.001; 22,383 shares outstanding at 2023 and</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5,583</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5,583</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3"/>
              </w:rPr>
              <w:t>Convertible preferred stock, Series B, par value $0.001; 10,000,000 shares authorized, 5,610,121</w:t>
            </w: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shares outstanding at 2022</w:t>
            </w:r>
          </w:p>
        </w:tc>
        <w:tc>
          <w:tcPr>
            <w:tcW w:w="80" w:type="dxa"/>
            <w:vAlign w:val="bottom"/>
          </w:tcPr>
          <w:p>
            <w:pPr>
              <w:spacing w:after="0"/>
              <w:rPr>
                <w:sz w:val="20"/>
                <w:szCs w:val="20"/>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Common stock, par value $0.001; 300,000,000 shares authorized, 80,873,295 and 74,874,459</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at 2023 and 2022, respectively</w:t>
            </w:r>
          </w:p>
        </w:tc>
        <w:tc>
          <w:tcPr>
            <w:tcW w:w="8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551,480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543,438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4,015 shares at 2023 and 2022</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0"/>
                <w:szCs w:val="20"/>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(532,640)</w:t>
            </w:r>
          </w:p>
        </w:tc>
        <w:tc>
          <w:tcPr>
            <w:tcW w:w="10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(516,967)</w:t>
            </w: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7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316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880" w:type="dxa"/>
            <w:vAlign w:val="bottom"/>
            <w:gridSpan w:val="7"/>
          </w:tcPr>
          <w:p>
            <w:pPr>
              <w:jc w:val="right"/>
              <w:ind w:right="81"/>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37"/>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Systems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3,539</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2,413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8,673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4,649</w:t>
            </w:r>
          </w:p>
        </w:tc>
      </w:tr>
      <w:tr>
        <w:trPr>
          <w:trHeight w:val="24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Disposables, service and accessories</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4,260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5,244</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13,533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16,197</w:t>
            </w: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7,799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7,657</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22,206</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20,846</w:t>
            </w:r>
          </w:p>
        </w:tc>
        <w:tc>
          <w:tcPr>
            <w:tcW w:w="100" w:type="dxa"/>
            <w:vAlign w:val="bottom"/>
            <w:tcBorders>
              <w:top w:val="single" w:sz="8" w:color="CCEEFF"/>
            </w:tcBorders>
          </w:tcPr>
          <w:p>
            <w:pPr>
              <w:spacing w:after="0"/>
              <w:rPr>
                <w:sz w:val="17"/>
                <w:szCs w:val="17"/>
                <w:color w:val="auto"/>
              </w:rPr>
            </w:pPr>
          </w:p>
        </w:tc>
      </w:tr>
      <w:tr>
        <w:trPr>
          <w:trHeight w:val="216"/>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2,909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7,309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3,817</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Disposables, service and accessories</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2,868</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4,567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12,122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14,161</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2,668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2,818</w:t>
            </w:r>
          </w:p>
        </w:tc>
        <w:tc>
          <w:tcPr>
            <w:tcW w:w="2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8,158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3,111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9,585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9,337</w:t>
            </w: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3,933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3,690</w:t>
            </w:r>
          </w:p>
        </w:tc>
        <w:tc>
          <w:tcPr>
            <w:tcW w:w="240" w:type="dxa"/>
            <w:vAlign w:val="bottom"/>
          </w:tcPr>
          <w:p>
            <w:pPr>
              <w:spacing w:after="0"/>
              <w:rPr>
                <w:sz w:val="20"/>
                <w:szCs w:val="20"/>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10,986</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20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(5,639)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(5,052)</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(16,535)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(14,320)</w:t>
            </w: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182</w:t>
            </w:r>
          </w:p>
        </w:tc>
      </w:tr>
      <w:tr>
        <w:trPr>
          <w:trHeight w:val="203"/>
        </w:trPr>
        <w:tc>
          <w:tcPr>
            <w:tcW w:w="5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(5,369)</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(4,917)</w:t>
            </w: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(15,673)</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(14,138)</w:t>
            </w:r>
          </w:p>
        </w:tc>
        <w:tc>
          <w:tcPr>
            <w:tcW w:w="100" w:type="dxa"/>
            <w:vAlign w:val="bottom"/>
            <w:tcBorders>
              <w:top w:val="single" w:sz="8" w:color="CCEEFF"/>
            </w:tcBorders>
          </w:tcPr>
          <w:p>
            <w:pPr>
              <w:spacing w:after="0"/>
              <w:rPr>
                <w:sz w:val="17"/>
                <w:szCs w:val="17"/>
                <w:color w:val="auto"/>
              </w:rPr>
            </w:pPr>
          </w:p>
        </w:tc>
      </w:tr>
      <w:tr>
        <w:trPr>
          <w:trHeight w:val="216"/>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Cumulative dividend on convertible preferred stock</w:t>
            </w:r>
          </w:p>
        </w:tc>
        <w:tc>
          <w:tcPr>
            <w:tcW w:w="26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(1,005)</w:t>
            </w:r>
          </w:p>
        </w:tc>
      </w:tr>
      <w:tr>
        <w:trPr>
          <w:trHeight w:val="229"/>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(0.20)</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(0.07)</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(0.21)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and equivalents: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82,468,971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61"/>
              <w:spacing w:after="0"/>
              <w:rPr>
                <w:sz w:val="20"/>
                <w:szCs w:val="20"/>
                <w:color w:val="auto"/>
              </w:rPr>
            </w:pPr>
            <w:r>
              <w:rPr>
                <w:rFonts w:ascii="Arial" w:cs="Arial" w:eastAsia="Arial" w:hAnsi="Arial"/>
                <w:sz w:val="18"/>
                <w:szCs w:val="18"/>
                <w:color w:val="auto"/>
              </w:rPr>
              <w:t>76,100,007</w:t>
            </w:r>
          </w:p>
        </w:tc>
        <w:tc>
          <w:tcPr>
            <w:tcW w:w="24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80,028,243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75,977,920</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82,468,971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76,100,007</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80,028,243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75,977,920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90"/>
              </w:rPr>
              <w:t>Convertible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11"/>
          </w:tcPr>
          <w:p>
            <w:pPr>
              <w:jc w:val="center"/>
              <w:ind w:right="220"/>
              <w:spacing w:after="0"/>
              <w:rPr>
                <w:sz w:val="20"/>
                <w:szCs w:val="20"/>
                <w:color w:val="auto"/>
              </w:rPr>
            </w:pPr>
            <w:r>
              <w:rPr>
                <w:rFonts w:ascii="Arial" w:cs="Arial" w:eastAsia="Arial" w:hAnsi="Arial"/>
                <w:sz w:val="18"/>
                <w:szCs w:val="18"/>
                <w:b w:val="1"/>
                <w:bCs w:val="1"/>
                <w:color w:val="auto"/>
                <w:w w:val="90"/>
              </w:rPr>
              <w:t>Preferred Stock</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90"/>
              </w:rPr>
              <w:t>Convertible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Stockholders’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w:t>
            </w:r>
          </w:p>
        </w:tc>
        <w:tc>
          <w:tcPr>
            <w:tcW w:w="240" w:type="dxa"/>
            <w:vAlign w:val="bottom"/>
          </w:tcPr>
          <w:p>
            <w:pPr>
              <w:spacing w:after="0"/>
              <w:rPr>
                <w:sz w:val="18"/>
                <w:szCs w:val="18"/>
                <w:color w:val="auto"/>
              </w:rPr>
            </w:pPr>
          </w:p>
        </w:tc>
        <w:tc>
          <w:tcPr>
            <w:tcW w:w="94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85"/>
              </w:rPr>
              <w:t>Series A</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Paid-In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Treasury</w:t>
            </w:r>
          </w:p>
        </w:tc>
        <w:tc>
          <w:tcPr>
            <w:tcW w:w="20" w:type="dxa"/>
            <w:vAlign w:val="bottom"/>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55"/>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share amounts)</w:t>
            </w:r>
          </w:p>
        </w:tc>
        <w:tc>
          <w:tcPr>
            <w:tcW w:w="118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92"/>
              </w:rPr>
              <w:t>(Mezzanine)</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6"/>
          </w:tcPr>
          <w:p>
            <w:pPr>
              <w:jc w:val="center"/>
              <w:ind w:right="10"/>
              <w:spacing w:after="0"/>
              <w:rPr>
                <w:sz w:val="20"/>
                <w:szCs w:val="20"/>
                <w:color w:val="auto"/>
              </w:rPr>
            </w:pPr>
            <w:r>
              <w:rPr>
                <w:rFonts w:ascii="Arial" w:cs="Arial" w:eastAsia="Arial" w:hAnsi="Arial"/>
                <w:sz w:val="18"/>
                <w:szCs w:val="18"/>
                <w:b w:val="1"/>
                <w:bCs w:val="1"/>
                <w:color w:val="auto"/>
                <w:w w:val="85"/>
              </w:rPr>
              <w:t>Series B</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gridSpan w:val="6"/>
          </w:tcPr>
          <w:p>
            <w:pPr>
              <w:ind w:left="260"/>
              <w:spacing w:after="0"/>
              <w:rPr>
                <w:sz w:val="20"/>
                <w:szCs w:val="20"/>
                <w:color w:val="auto"/>
              </w:rPr>
            </w:pPr>
            <w:r>
              <w:rPr>
                <w:rFonts w:ascii="Arial" w:cs="Arial" w:eastAsia="Arial" w:hAnsi="Arial"/>
                <w:sz w:val="18"/>
                <w:szCs w:val="18"/>
                <w:b w:val="1"/>
                <w:bCs w:val="1"/>
                <w:color w:val="auto"/>
                <w:w w:val="87"/>
              </w:rPr>
              <w:t>Common Stock</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r>
      <w:tr>
        <w:trPr>
          <w:trHeight w:val="237"/>
        </w:trPr>
        <w:tc>
          <w:tcPr>
            <w:tcW w:w="19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w:t>
            </w:r>
          </w:p>
        </w:tc>
      </w:tr>
      <w:tr>
        <w:trPr>
          <w:trHeight w:val="216"/>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at June 30, 2022</w:t>
            </w: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22,386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84"/>
              </w:rPr>
              <w:t>5,584</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2"/>
              </w:rPr>
              <w:t>5,610,121</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5"/>
                <w:szCs w:val="15"/>
                <w:color w:val="auto"/>
                <w:w w:val="71"/>
              </w:rPr>
              <w:t>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74,686,056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537,963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(507,897)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29,941</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11240" w:type="dxa"/>
            <w:vAlign w:val="bottom"/>
            <w:gridSpan w:val="57"/>
          </w:tcPr>
          <w:p>
            <w:pPr>
              <w:spacing w:after="0" w:line="201" w:lineRule="exact"/>
              <w:rPr>
                <w:sz w:val="20"/>
                <w:szCs w:val="20"/>
                <w:color w:val="auto"/>
              </w:rPr>
            </w:pPr>
            <w:r>
              <w:rPr>
                <w:rFonts w:ascii="Arial" w:cs="Arial" w:eastAsia="Arial" w:hAnsi="Arial"/>
                <w:sz w:val="18"/>
                <w:szCs w:val="18"/>
                <w:color w:val="auto"/>
              </w:rPr>
              <w:t>Stock issued for the</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w w:val="99"/>
              </w:rPr>
              <w:t>exercise of stock options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31,437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r>
      <w:tr>
        <w:trPr>
          <w:trHeight w:val="202"/>
        </w:trPr>
        <w:tc>
          <w:tcPr>
            <w:tcW w:w="11240" w:type="dxa"/>
            <w:vAlign w:val="bottom"/>
            <w:gridSpan w:val="57"/>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r>
      <w:tr>
        <w:trPr>
          <w:trHeight w:val="23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100,027</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2,695</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Components of net loss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(4,917)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(4,917)</w:t>
            </w:r>
          </w:p>
        </w:tc>
      </w:tr>
      <w:tr>
        <w:trPr>
          <w:trHeight w:val="202"/>
        </w:trPr>
        <w:tc>
          <w:tcPr>
            <w:tcW w:w="11240" w:type="dxa"/>
            <w:vAlign w:val="bottom"/>
            <w:gridSpan w:val="57"/>
            <w:shd w:val="clear" w:color="auto" w:fill="CCEEFF"/>
          </w:tcPr>
          <w:p>
            <w:pPr>
              <w:spacing w:after="0" w:line="201" w:lineRule="exact"/>
              <w:rPr>
                <w:sz w:val="20"/>
                <w:szCs w:val="20"/>
                <w:color w:val="auto"/>
              </w:rPr>
            </w:pPr>
            <w:r>
              <w:rPr>
                <w:rFonts w:ascii="Arial" w:cs="Arial" w:eastAsia="Arial" w:hAnsi="Arial"/>
                <w:sz w:val="18"/>
                <w:szCs w:val="18"/>
                <w:color w:val="auto"/>
                <w:w w:val="95"/>
              </w:rPr>
              <w:t>Employee stock purchase</w:t>
            </w:r>
          </w:p>
        </w:tc>
      </w:tr>
      <w:tr>
        <w:trPr>
          <w:trHeight w:val="26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14,758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r>
      <w:tr>
        <w:trPr>
          <w:trHeight w:val="175"/>
        </w:trPr>
        <w:tc>
          <w:tcPr>
            <w:tcW w:w="19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3"/>
              </w:rPr>
              <w:t>Balance at September 30,</w:t>
            </w:r>
          </w:p>
        </w:tc>
        <w:tc>
          <w:tcPr>
            <w:tcW w:w="58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620" w:type="dxa"/>
            <w:vAlign w:val="bottom"/>
            <w:tcBorders>
              <w:top w:val="single" w:sz="8" w:color="auto"/>
            </w:tcBorders>
            <w:gridSpan w:val="5"/>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gridSpan w:val="6"/>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62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auto"/>
            </w:tcBorders>
            <w:gridSpan w:val="2"/>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62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82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70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1020" w:type="dxa"/>
            <w:vAlign w:val="bottom"/>
            <w:tcBorders>
              <w:top w:val="single" w:sz="8" w:color="auto"/>
            </w:tcBorders>
            <w:gridSpan w:val="3"/>
          </w:tcPr>
          <w:p>
            <w:pPr>
              <w:spacing w:after="0"/>
              <w:rPr>
                <w:sz w:val="15"/>
                <w:szCs w:val="15"/>
                <w:color w:val="auto"/>
              </w:rPr>
            </w:pPr>
          </w:p>
        </w:tc>
        <w:tc>
          <w:tcPr>
            <w:tcW w:w="180" w:type="dxa"/>
            <w:vAlign w:val="bottom"/>
            <w:tcBorders>
              <w:top w:val="single" w:sz="8" w:color="CCEEFF"/>
            </w:tcBorders>
            <w:gridSpan w:val="2"/>
          </w:tcPr>
          <w:p>
            <w:pPr>
              <w:spacing w:after="0"/>
              <w:rPr>
                <w:sz w:val="15"/>
                <w:szCs w:val="15"/>
                <w:color w:val="auto"/>
              </w:rPr>
            </w:pPr>
          </w:p>
        </w:tc>
        <w:tc>
          <w:tcPr>
            <w:tcW w:w="1040" w:type="dxa"/>
            <w:vAlign w:val="bottom"/>
            <w:tcBorders>
              <w:top w:val="single" w:sz="8" w:color="auto"/>
            </w:tcBorders>
            <w:gridSpan w:val="3"/>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2"/>
                <w:szCs w:val="22"/>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22,386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640" w:type="dxa"/>
            <w:vAlign w:val="bottom"/>
            <w:gridSpan w:val="4"/>
          </w:tcPr>
          <w:p>
            <w:pPr>
              <w:ind w:left="60"/>
              <w:spacing w:after="0"/>
              <w:rPr>
                <w:sz w:val="20"/>
                <w:szCs w:val="20"/>
                <w:color w:val="auto"/>
              </w:rPr>
            </w:pPr>
            <w:r>
              <w:rPr>
                <w:rFonts w:ascii="Arial" w:cs="Arial" w:eastAsia="Arial" w:hAnsi="Arial"/>
                <w:sz w:val="18"/>
                <w:szCs w:val="18"/>
                <w:color w:val="auto"/>
              </w:rPr>
              <w:t>5,584</w:t>
            </w:r>
          </w:p>
        </w:tc>
        <w:tc>
          <w:tcPr>
            <w:tcW w:w="40" w:type="dxa"/>
            <w:vAlign w:val="bottom"/>
          </w:tcPr>
          <w:p>
            <w:pPr>
              <w:spacing w:after="0"/>
              <w:rPr>
                <w:sz w:val="22"/>
                <w:szCs w:val="22"/>
                <w:color w:val="auto"/>
              </w:rPr>
            </w:pP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w w:val="92"/>
              </w:rPr>
              <w:t>5,610,121</w:t>
            </w:r>
          </w:p>
        </w:tc>
        <w:tc>
          <w:tcPr>
            <w:tcW w:w="5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2"/>
                <w:szCs w:val="22"/>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74,832,278</w:t>
            </w:r>
          </w:p>
        </w:tc>
        <w:tc>
          <w:tcPr>
            <w:tcW w:w="4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540,706</w:t>
            </w:r>
          </w:p>
        </w:tc>
        <w:tc>
          <w:tcPr>
            <w:tcW w:w="180" w:type="dxa"/>
            <w:vAlign w:val="bottom"/>
            <w:gridSpan w:val="3"/>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(206)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(512,814)</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27,767</w:t>
            </w:r>
          </w:p>
        </w:tc>
      </w:tr>
      <w:tr>
        <w:trPr>
          <w:trHeight w:val="20"/>
        </w:trPr>
        <w:tc>
          <w:tcPr>
            <w:tcW w:w="1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5"/>
          </w:tcPr>
          <w:p>
            <w:pPr>
              <w:ind w:left="300"/>
              <w:spacing w:after="0"/>
              <w:rPr>
                <w:sz w:val="20"/>
                <w:szCs w:val="20"/>
                <w:color w:val="auto"/>
              </w:rPr>
            </w:pPr>
            <w:r>
              <w:rPr>
                <w:rFonts w:ascii="Arial" w:cs="Arial" w:eastAsia="Arial" w:hAnsi="Arial"/>
                <w:sz w:val="18"/>
                <w:szCs w:val="18"/>
                <w:b w:val="1"/>
                <w:bCs w:val="1"/>
                <w:color w:val="auto"/>
              </w:rPr>
              <w:t>Three Months Ended September 30, 2023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2"/>
              </w:rPr>
              <w:t>Convertible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0"/>
              </w:rPr>
              <w:t>Preferred Stock</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2"/>
              </w:rPr>
              <w:t>Convertible</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3"/>
              </w:rPr>
              <w:t>Additional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w w:val="88"/>
              </w:rPr>
              <w:t>(in thousands, except share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88"/>
              </w:rPr>
              <w:t>Series A</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0"/>
              </w:rPr>
              <w:t>Preferred Stock</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6"/>
              </w:rPr>
              <w:t>Paid-In</w:t>
            </w:r>
          </w:p>
        </w:tc>
        <w:tc>
          <w:tcPr>
            <w:tcW w:w="60" w:type="dxa"/>
            <w:vAlign w:val="bottom"/>
          </w:tcPr>
          <w:p>
            <w:pPr>
              <w:spacing w:after="0"/>
              <w:rPr>
                <w:sz w:val="18"/>
                <w:szCs w:val="18"/>
                <w:color w:val="auto"/>
              </w:rPr>
            </w:pPr>
          </w:p>
        </w:tc>
        <w:tc>
          <w:tcPr>
            <w:tcW w:w="880" w:type="dxa"/>
            <w:vAlign w:val="bottom"/>
            <w:gridSpan w:val="5"/>
          </w:tcPr>
          <w:p>
            <w:pPr>
              <w:spacing w:after="0"/>
              <w:rPr>
                <w:sz w:val="20"/>
                <w:szCs w:val="20"/>
                <w:color w:val="auto"/>
              </w:rPr>
            </w:pPr>
            <w:r>
              <w:rPr>
                <w:rFonts w:ascii="Arial" w:cs="Arial" w:eastAsia="Arial" w:hAnsi="Arial"/>
                <w:sz w:val="18"/>
                <w:szCs w:val="18"/>
                <w:b w:val="1"/>
                <w:bCs w:val="1"/>
                <w:color w:val="auto"/>
              </w:rPr>
              <w:t>Treasury</w:t>
            </w:r>
          </w:p>
        </w:tc>
        <w:tc>
          <w:tcPr>
            <w:tcW w:w="1200" w:type="dxa"/>
            <w:vAlign w:val="bottom"/>
            <w:gridSpan w:val="5"/>
          </w:tcPr>
          <w:p>
            <w:pPr>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55"/>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amounts)</w:t>
            </w:r>
          </w:p>
        </w:tc>
        <w:tc>
          <w:tcPr>
            <w:tcW w:w="240" w:type="dxa"/>
            <w:vAlign w:val="bottom"/>
          </w:tcPr>
          <w:p>
            <w:pPr>
              <w:spacing w:after="0"/>
              <w:rPr>
                <w:sz w:val="22"/>
                <w:szCs w:val="22"/>
                <w:color w:val="auto"/>
              </w:rPr>
            </w:pPr>
          </w:p>
        </w:tc>
        <w:tc>
          <w:tcPr>
            <w:tcW w:w="13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4"/>
              </w:rPr>
              <w:t>(Mezzanine)</w:t>
            </w:r>
          </w:p>
        </w:tc>
        <w:tc>
          <w:tcPr>
            <w:tcW w:w="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85"/>
              </w:rPr>
              <w:t>Series B</w:t>
            </w:r>
          </w:p>
        </w:tc>
        <w:tc>
          <w:tcPr>
            <w:tcW w:w="1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b w:val="1"/>
                <w:bCs w:val="1"/>
                <w:color w:val="auto"/>
                <w:w w:val="90"/>
              </w:rPr>
              <w:t>Common Stock</w:t>
            </w:r>
          </w:p>
        </w:tc>
        <w:tc>
          <w:tcPr>
            <w:tcW w:w="20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6"/>
              </w:rPr>
              <w:t>Capital</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5"/>
              </w:rPr>
              <w:t>Stock</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5"/>
              </w:rPr>
              <w:t>(Deficit)</w:t>
            </w:r>
          </w:p>
        </w:tc>
      </w:tr>
      <w:tr>
        <w:trPr>
          <w:trHeight w:val="236"/>
        </w:trPr>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89"/>
              </w:rPr>
              <w:t>Shares</w:t>
            </w:r>
          </w:p>
        </w:tc>
        <w:tc>
          <w:tcPr>
            <w:tcW w:w="720" w:type="dxa"/>
            <w:vAlign w:val="bottom"/>
            <w:gridSpan w:val="6"/>
          </w:tcPr>
          <w:p>
            <w:pPr>
              <w:ind w:left="100"/>
              <w:spacing w:after="0"/>
              <w:rPr>
                <w:sz w:val="20"/>
                <w:szCs w:val="20"/>
                <w:color w:val="auto"/>
              </w:rPr>
            </w:pPr>
            <w:r>
              <w:rPr>
                <w:rFonts w:ascii="Arial" w:cs="Arial" w:eastAsia="Arial" w:hAnsi="Arial"/>
                <w:sz w:val="18"/>
                <w:szCs w:val="18"/>
                <w:b w:val="1"/>
                <w:bCs w:val="1"/>
                <w:color w:val="auto"/>
                <w:w w:val="88"/>
              </w:rPr>
              <w:t>Amount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3"/>
              </w:rPr>
              <w:t>Shares</w:t>
            </w:r>
          </w:p>
        </w:tc>
        <w:tc>
          <w:tcPr>
            <w:tcW w:w="680" w:type="dxa"/>
            <w:vAlign w:val="bottom"/>
            <w:gridSpan w:val="4"/>
          </w:tcPr>
          <w:p>
            <w:pPr>
              <w:ind w:left="60"/>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gridSpan w:val="3"/>
          </w:tcPr>
          <w:p>
            <w:pPr>
              <w:ind w:left="160"/>
              <w:spacing w:after="0"/>
              <w:rPr>
                <w:sz w:val="20"/>
                <w:szCs w:val="20"/>
                <w:color w:val="auto"/>
              </w:rPr>
            </w:pPr>
            <w:r>
              <w:rPr>
                <w:rFonts w:ascii="Arial" w:cs="Arial" w:eastAsia="Arial" w:hAnsi="Arial"/>
                <w:sz w:val="18"/>
                <w:szCs w:val="18"/>
                <w:b w:val="1"/>
                <w:bCs w:val="1"/>
                <w:color w:val="auto"/>
              </w:rPr>
              <w:t>Shares</w:t>
            </w:r>
          </w:p>
        </w:tc>
        <w:tc>
          <w:tcPr>
            <w:tcW w:w="680" w:type="dxa"/>
            <w:vAlign w:val="bottom"/>
            <w:gridSpan w:val="4"/>
          </w:tcPr>
          <w:p>
            <w:pPr>
              <w:ind w:left="60"/>
              <w:spacing w:after="0"/>
              <w:rPr>
                <w:sz w:val="20"/>
                <w:szCs w:val="20"/>
                <w:color w:val="auto"/>
              </w:rPr>
            </w:pPr>
            <w:r>
              <w:rPr>
                <w:rFonts w:ascii="Arial" w:cs="Arial" w:eastAsia="Arial" w:hAnsi="Arial"/>
                <w:sz w:val="18"/>
                <w:szCs w:val="18"/>
                <w:b w:val="1"/>
                <w:bCs w:val="1"/>
                <w:color w:val="auto"/>
                <w:w w:val="88"/>
              </w:rPr>
              <w:t>Amount</w:t>
            </w:r>
          </w:p>
        </w:tc>
        <w:tc>
          <w:tcPr>
            <w:tcW w:w="10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880" w:type="dxa"/>
            <w:vAlign w:val="bottom"/>
            <w:gridSpan w:val="5"/>
          </w:tcPr>
          <w:p>
            <w:pPr>
              <w:ind w:left="2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7"/>
              </w:rPr>
              <w:t>Amount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2220" w:type="dxa"/>
            <w:vAlign w:val="bottom"/>
            <w:gridSpan w:val="3"/>
          </w:tcPr>
          <w:p>
            <w:pPr>
              <w:spacing w:after="0"/>
              <w:rPr>
                <w:sz w:val="18"/>
                <w:szCs w:val="18"/>
                <w:color w:val="auto"/>
              </w:rPr>
            </w:pPr>
          </w:p>
        </w:tc>
        <w:tc>
          <w:tcPr>
            <w:tcW w:w="580" w:type="dxa"/>
            <w:vAlign w:val="bottom"/>
            <w:tcBorders>
              <w:top w:val="single" w:sz="8" w:color="auto"/>
            </w:tcBorders>
            <w:gridSpan w:val="4"/>
          </w:tcPr>
          <w:p>
            <w:pPr>
              <w:spacing w:after="0"/>
              <w:rPr>
                <w:sz w:val="18"/>
                <w:szCs w:val="18"/>
                <w:color w:val="auto"/>
              </w:rPr>
            </w:pPr>
          </w:p>
        </w:tc>
        <w:tc>
          <w:tcPr>
            <w:tcW w:w="160" w:type="dxa"/>
            <w:vAlign w:val="bottom"/>
            <w:gridSpan w:val="2"/>
          </w:tcPr>
          <w:p>
            <w:pPr>
              <w:spacing w:after="0"/>
              <w:rPr>
                <w:sz w:val="18"/>
                <w:szCs w:val="18"/>
                <w:color w:val="auto"/>
              </w:rPr>
            </w:pPr>
          </w:p>
        </w:tc>
        <w:tc>
          <w:tcPr>
            <w:tcW w:w="620" w:type="dxa"/>
            <w:vAlign w:val="bottom"/>
            <w:tcBorders>
              <w:top w:val="single" w:sz="8" w:color="auto"/>
            </w:tcBorders>
            <w:gridSpan w:val="5"/>
          </w:tcPr>
          <w:p>
            <w:pPr>
              <w:spacing w:after="0"/>
              <w:rPr>
                <w:sz w:val="18"/>
                <w:szCs w:val="18"/>
                <w:color w:val="auto"/>
              </w:rPr>
            </w:pPr>
          </w:p>
        </w:tc>
        <w:tc>
          <w:tcPr>
            <w:tcW w:w="160" w:type="dxa"/>
            <w:vAlign w:val="bottom"/>
            <w:gridSpan w:val="2"/>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gridSpan w:val="3"/>
          </w:tcPr>
          <w:p>
            <w:pPr>
              <w:spacing w:after="0"/>
              <w:rPr>
                <w:sz w:val="18"/>
                <w:szCs w:val="18"/>
                <w:color w:val="auto"/>
              </w:rPr>
            </w:pPr>
          </w:p>
        </w:tc>
        <w:tc>
          <w:tcPr>
            <w:tcW w:w="620" w:type="dxa"/>
            <w:vAlign w:val="bottom"/>
            <w:tcBorders>
              <w:top w:val="single" w:sz="8" w:color="auto"/>
            </w:tcBorders>
            <w:gridSpan w:val="3"/>
          </w:tcPr>
          <w:p>
            <w:pPr>
              <w:spacing w:after="0"/>
              <w:rPr>
                <w:sz w:val="18"/>
                <w:szCs w:val="18"/>
                <w:color w:val="auto"/>
              </w:rPr>
            </w:pPr>
          </w:p>
        </w:tc>
        <w:tc>
          <w:tcPr>
            <w:tcW w:w="160" w:type="dxa"/>
            <w:vAlign w:val="bottom"/>
            <w:gridSpan w:val="2"/>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160" w:type="dxa"/>
            <w:vAlign w:val="bottom"/>
            <w:gridSpan w:val="3"/>
          </w:tcPr>
          <w:p>
            <w:pPr>
              <w:spacing w:after="0"/>
              <w:rPr>
                <w:sz w:val="18"/>
                <w:szCs w:val="18"/>
                <w:color w:val="auto"/>
              </w:rPr>
            </w:pPr>
          </w:p>
        </w:tc>
        <w:tc>
          <w:tcPr>
            <w:tcW w:w="620" w:type="dxa"/>
            <w:vAlign w:val="bottom"/>
            <w:tcBorders>
              <w:top w:val="single" w:sz="8" w:color="auto"/>
            </w:tcBorders>
            <w:gridSpan w:val="3"/>
          </w:tcPr>
          <w:p>
            <w:pPr>
              <w:spacing w:after="0"/>
              <w:rPr>
                <w:sz w:val="18"/>
                <w:szCs w:val="18"/>
                <w:color w:val="auto"/>
              </w:rPr>
            </w:pPr>
          </w:p>
        </w:tc>
        <w:tc>
          <w:tcPr>
            <w:tcW w:w="160" w:type="dxa"/>
            <w:vAlign w:val="bottom"/>
            <w:gridSpan w:val="3"/>
          </w:tcPr>
          <w:p>
            <w:pPr>
              <w:spacing w:after="0"/>
              <w:rPr>
                <w:sz w:val="18"/>
                <w:szCs w:val="18"/>
                <w:color w:val="auto"/>
              </w:rPr>
            </w:pPr>
          </w:p>
        </w:tc>
        <w:tc>
          <w:tcPr>
            <w:tcW w:w="820" w:type="dxa"/>
            <w:vAlign w:val="bottom"/>
            <w:tcBorders>
              <w:top w:val="single" w:sz="8" w:color="auto"/>
            </w:tcBorders>
            <w:gridSpan w:val="3"/>
          </w:tcPr>
          <w:p>
            <w:pPr>
              <w:spacing w:after="0"/>
              <w:rPr>
                <w:sz w:val="18"/>
                <w:szCs w:val="18"/>
                <w:color w:val="auto"/>
              </w:rPr>
            </w:pPr>
          </w:p>
        </w:tc>
        <w:tc>
          <w:tcPr>
            <w:tcW w:w="160" w:type="dxa"/>
            <w:vAlign w:val="bottom"/>
            <w:gridSpan w:val="3"/>
          </w:tcPr>
          <w:p>
            <w:pPr>
              <w:spacing w:after="0"/>
              <w:rPr>
                <w:sz w:val="18"/>
                <w:szCs w:val="18"/>
                <w:color w:val="auto"/>
              </w:rPr>
            </w:pPr>
          </w:p>
        </w:tc>
        <w:tc>
          <w:tcPr>
            <w:tcW w:w="700" w:type="dxa"/>
            <w:vAlign w:val="bottom"/>
            <w:tcBorders>
              <w:top w:val="single" w:sz="8" w:color="auto"/>
            </w:tcBorders>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tcBorders>
              <w:top w:val="single" w:sz="8" w:color="auto"/>
            </w:tcBorders>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Borders>
              <w:top w:val="single" w:sz="8" w:color="auto"/>
            </w:tcBorders>
            <w:gridSpan w:val="3"/>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Balance at June 30, 2023</w:t>
            </w:r>
          </w:p>
        </w:tc>
        <w:tc>
          <w:tcPr>
            <w:tcW w:w="88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22,383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88"/>
              </w:rPr>
              <w:t>5,583</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80,682,586</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81</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548,782</w:t>
            </w:r>
          </w:p>
        </w:tc>
        <w:tc>
          <w:tcPr>
            <w:tcW w:w="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(527,271)</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560" w:type="dxa"/>
            <w:vAlign w:val="bottom"/>
            <w:gridSpan w:val="5"/>
          </w:tcPr>
          <w:p>
            <w:pPr>
              <w:spacing w:after="0" w:line="201" w:lineRule="exact"/>
              <w:rPr>
                <w:sz w:val="20"/>
                <w:szCs w:val="20"/>
                <w:color w:val="auto"/>
              </w:rPr>
            </w:pPr>
            <w:r>
              <w:rPr>
                <w:rFonts w:ascii="Arial" w:cs="Arial" w:eastAsia="Arial" w:hAnsi="Arial"/>
                <w:sz w:val="18"/>
                <w:szCs w:val="18"/>
                <w:color w:val="auto"/>
              </w:rPr>
              <w:t>Stock issued for the exercise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of stock options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Stock-based compensation</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Components of net loss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(5,369)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(5,369)</w:t>
            </w:r>
          </w:p>
        </w:tc>
      </w:tr>
      <w:tr>
        <w:trPr>
          <w:trHeight w:val="202"/>
        </w:trPr>
        <w:tc>
          <w:tcPr>
            <w:tcW w:w="11240" w:type="dxa"/>
            <w:vAlign w:val="bottom"/>
            <w:gridSpan w:val="57"/>
            <w:shd w:val="clear" w:color="auto" w:fill="CCEEFF"/>
          </w:tcPr>
          <w:p>
            <w:pPr>
              <w:spacing w:after="0" w:line="201" w:lineRule="exact"/>
              <w:rPr>
                <w:sz w:val="20"/>
                <w:szCs w:val="20"/>
                <w:color w:val="auto"/>
              </w:rPr>
            </w:pPr>
            <w:r>
              <w:rPr>
                <w:rFonts w:ascii="Arial" w:cs="Arial" w:eastAsia="Arial" w:hAnsi="Arial"/>
                <w:sz w:val="18"/>
                <w:szCs w:val="18"/>
                <w:color w:val="auto"/>
                <w:w w:val="95"/>
              </w:rPr>
              <w:t>Employee stock purchase</w:t>
            </w:r>
          </w:p>
        </w:tc>
      </w:tr>
      <w:tr>
        <w:trPr>
          <w:trHeight w:val="26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17,117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175"/>
        </w:trPr>
        <w:tc>
          <w:tcPr>
            <w:tcW w:w="2220" w:type="dxa"/>
            <w:vAlign w:val="bottom"/>
            <w:tcBorders>
              <w:top w:val="single" w:sz="8" w:color="CCEEFF"/>
            </w:tcBorders>
            <w:gridSpan w:val="3"/>
          </w:tcPr>
          <w:p>
            <w:pPr>
              <w:spacing w:after="0" w:line="176" w:lineRule="exact"/>
              <w:rPr>
                <w:sz w:val="20"/>
                <w:szCs w:val="20"/>
                <w:color w:val="auto"/>
              </w:rPr>
            </w:pPr>
            <w:r>
              <w:rPr>
                <w:rFonts w:ascii="Arial" w:cs="Arial" w:eastAsia="Arial" w:hAnsi="Arial"/>
                <w:sz w:val="18"/>
                <w:szCs w:val="18"/>
                <w:color w:val="auto"/>
                <w:w w:val="94"/>
              </w:rPr>
              <w:t>Balance at September 30,</w:t>
            </w:r>
          </w:p>
        </w:tc>
        <w:tc>
          <w:tcPr>
            <w:tcW w:w="580" w:type="dxa"/>
            <w:vAlign w:val="bottom"/>
            <w:tcBorders>
              <w:top w:val="single" w:sz="8" w:color="auto"/>
            </w:tcBorders>
            <w:gridSpan w:val="4"/>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620" w:type="dxa"/>
            <w:vAlign w:val="bottom"/>
            <w:tcBorders>
              <w:top w:val="single" w:sz="8" w:color="auto"/>
            </w:tcBorders>
            <w:gridSpan w:val="5"/>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62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auto"/>
            </w:tcBorders>
            <w:gridSpan w:val="2"/>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62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820" w:type="dxa"/>
            <w:vAlign w:val="bottom"/>
            <w:tcBorders>
              <w:top w:val="single" w:sz="8" w:color="auto"/>
            </w:tcBorders>
            <w:gridSpan w:val="3"/>
          </w:tcPr>
          <w:p>
            <w:pPr>
              <w:spacing w:after="0"/>
              <w:rPr>
                <w:sz w:val="15"/>
                <w:szCs w:val="15"/>
                <w:color w:val="auto"/>
              </w:rPr>
            </w:pPr>
          </w:p>
        </w:tc>
        <w:tc>
          <w:tcPr>
            <w:tcW w:w="160" w:type="dxa"/>
            <w:vAlign w:val="bottom"/>
            <w:tcBorders>
              <w:top w:val="single" w:sz="8" w:color="CCEEFF"/>
            </w:tcBorders>
            <w:gridSpan w:val="3"/>
          </w:tcPr>
          <w:p>
            <w:pPr>
              <w:spacing w:after="0"/>
              <w:rPr>
                <w:sz w:val="15"/>
                <w:szCs w:val="15"/>
                <w:color w:val="auto"/>
              </w:rPr>
            </w:pPr>
          </w:p>
        </w:tc>
        <w:tc>
          <w:tcPr>
            <w:tcW w:w="700" w:type="dxa"/>
            <w:vAlign w:val="bottom"/>
            <w:tcBorders>
              <w:top w:val="single" w:sz="8" w:color="auto"/>
            </w:tcBorders>
            <w:gridSpan w:val="3"/>
          </w:tcPr>
          <w:p>
            <w:pPr>
              <w:spacing w:after="0"/>
              <w:rPr>
                <w:sz w:val="15"/>
                <w:szCs w:val="15"/>
                <w:color w:val="auto"/>
              </w:rPr>
            </w:pPr>
          </w:p>
        </w:tc>
        <w:tc>
          <w:tcPr>
            <w:tcW w:w="180" w:type="dxa"/>
            <w:vAlign w:val="bottom"/>
            <w:tcBorders>
              <w:top w:val="single" w:sz="8" w:color="CCEEFF"/>
            </w:tcBorders>
            <w:gridSpan w:val="2"/>
          </w:tcPr>
          <w:p>
            <w:pPr>
              <w:spacing w:after="0"/>
              <w:rPr>
                <w:sz w:val="15"/>
                <w:szCs w:val="15"/>
                <w:color w:val="auto"/>
              </w:rPr>
            </w:pPr>
          </w:p>
        </w:tc>
        <w:tc>
          <w:tcPr>
            <w:tcW w:w="1020" w:type="dxa"/>
            <w:vAlign w:val="bottom"/>
            <w:tcBorders>
              <w:top w:val="single" w:sz="8" w:color="auto"/>
            </w:tcBorders>
            <w:gridSpan w:val="3"/>
          </w:tcPr>
          <w:p>
            <w:pPr>
              <w:spacing w:after="0"/>
              <w:rPr>
                <w:sz w:val="15"/>
                <w:szCs w:val="15"/>
                <w:color w:val="auto"/>
              </w:rPr>
            </w:pPr>
          </w:p>
        </w:tc>
        <w:tc>
          <w:tcPr>
            <w:tcW w:w="180" w:type="dxa"/>
            <w:vAlign w:val="bottom"/>
            <w:tcBorders>
              <w:top w:val="single" w:sz="8" w:color="CCEEFF"/>
            </w:tcBorders>
            <w:gridSpan w:val="2"/>
          </w:tcPr>
          <w:p>
            <w:pPr>
              <w:spacing w:after="0"/>
              <w:rPr>
                <w:sz w:val="15"/>
                <w:szCs w:val="15"/>
                <w:color w:val="auto"/>
              </w:rPr>
            </w:pPr>
          </w:p>
        </w:tc>
        <w:tc>
          <w:tcPr>
            <w:tcW w:w="1040" w:type="dxa"/>
            <w:vAlign w:val="bottom"/>
            <w:tcBorders>
              <w:top w:val="single" w:sz="8" w:color="auto"/>
            </w:tcBorders>
            <w:gridSpan w:val="3"/>
          </w:tcPr>
          <w:p>
            <w:pPr>
              <w:spacing w:after="0"/>
              <w:rPr>
                <w:sz w:val="15"/>
                <w:szCs w:val="15"/>
                <w:color w:val="auto"/>
              </w:rPr>
            </w:pPr>
          </w:p>
        </w:tc>
        <w:tc>
          <w:tcPr>
            <w:tcW w:w="100" w:type="dxa"/>
            <w:vAlign w:val="bottom"/>
            <w:tcBorders>
              <w:top w:val="single" w:sz="8" w:color="CCEEFF"/>
            </w:tcBorders>
            <w:gridSpan w:val="2"/>
          </w:tcPr>
          <w:p>
            <w:pPr>
              <w:spacing w:after="0"/>
              <w:rPr>
                <w:sz w:val="15"/>
                <w:szCs w:val="15"/>
                <w:color w:val="auto"/>
              </w:rPr>
            </w:pP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2"/>
                <w:szCs w:val="22"/>
                <w:color w:val="auto"/>
              </w:rPr>
            </w:pPr>
          </w:p>
        </w:tc>
        <w:tc>
          <w:tcPr>
            <w:tcW w:w="880" w:type="dxa"/>
            <w:vAlign w:val="bottom"/>
            <w:gridSpan w:val="6"/>
          </w:tcPr>
          <w:p>
            <w:pPr>
              <w:jc w:val="right"/>
              <w:ind w:right="60"/>
              <w:spacing w:after="0"/>
              <w:rPr>
                <w:sz w:val="20"/>
                <w:szCs w:val="20"/>
                <w:color w:val="auto"/>
              </w:rPr>
            </w:pPr>
            <w:r>
              <w:rPr>
                <w:rFonts w:ascii="Arial" w:cs="Arial" w:eastAsia="Arial" w:hAnsi="Arial"/>
                <w:sz w:val="18"/>
                <w:szCs w:val="18"/>
                <w:color w:val="auto"/>
              </w:rPr>
              <w:t>22,383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460" w:type="dxa"/>
            <w:vAlign w:val="bottom"/>
            <w:gridSpan w:val="5"/>
          </w:tcPr>
          <w:p>
            <w:pPr>
              <w:jc w:val="right"/>
              <w:ind w:right="40"/>
              <w:spacing w:after="0"/>
              <w:rPr>
                <w:sz w:val="20"/>
                <w:szCs w:val="20"/>
                <w:color w:val="auto"/>
              </w:rPr>
            </w:pPr>
            <w:r>
              <w:rPr>
                <w:rFonts w:ascii="Arial" w:cs="Arial" w:eastAsia="Arial" w:hAnsi="Arial"/>
                <w:sz w:val="18"/>
                <w:szCs w:val="18"/>
                <w:color w:val="auto"/>
                <w:w w:val="88"/>
              </w:rPr>
              <w:t>5,583</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5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80,873,295</w:t>
            </w:r>
          </w:p>
        </w:tc>
        <w:tc>
          <w:tcPr>
            <w:tcW w:w="60" w:type="dxa"/>
            <w:vAlign w:val="bottom"/>
          </w:tcPr>
          <w:p>
            <w:pPr>
              <w:spacing w:after="0"/>
              <w:rPr>
                <w:sz w:val="22"/>
                <w:szCs w:val="22"/>
                <w:color w:val="auto"/>
              </w:rPr>
            </w:pPr>
          </w:p>
        </w:tc>
        <w:tc>
          <w:tcPr>
            <w:tcW w:w="4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81</w:t>
            </w:r>
          </w:p>
        </w:tc>
        <w:tc>
          <w:tcPr>
            <w:tcW w:w="60" w:type="dxa"/>
            <w:vAlign w:val="bottom"/>
          </w:tcPr>
          <w:p>
            <w:pPr>
              <w:spacing w:after="0"/>
              <w:rPr>
                <w:sz w:val="22"/>
                <w:szCs w:val="22"/>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551,480</w:t>
            </w:r>
          </w:p>
        </w:tc>
        <w:tc>
          <w:tcPr>
            <w:tcW w:w="60" w:type="dxa"/>
            <w:vAlign w:val="bottom"/>
          </w:tcPr>
          <w:p>
            <w:pPr>
              <w:spacing w:after="0"/>
              <w:rPr>
                <w:sz w:val="22"/>
                <w:szCs w:val="22"/>
                <w:color w:val="auto"/>
              </w:rPr>
            </w:pPr>
          </w:p>
        </w:tc>
        <w:tc>
          <w:tcPr>
            <w:tcW w:w="180" w:type="dxa"/>
            <w:vAlign w:val="bottom"/>
            <w:gridSpan w:val="3"/>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(206)</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(532,640)</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
        </w:trPr>
        <w:tc>
          <w:tcPr>
            <w:tcW w:w="2220" w:type="dxa"/>
            <w:vAlign w:val="bottom"/>
            <w:gridSpan w:val="3"/>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0"/>
              </w:rPr>
              <w:t>Convertible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0"/>
              </w:rPr>
              <w:t>Preferred Stock</w:t>
            </w:r>
          </w:p>
        </w:tc>
        <w:tc>
          <w:tcPr>
            <w:tcW w:w="14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Convertible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w:t>
            </w:r>
          </w:p>
        </w:tc>
        <w:tc>
          <w:tcPr>
            <w:tcW w:w="152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85"/>
              </w:rPr>
              <w:t>Series A</w:t>
            </w:r>
          </w:p>
        </w:tc>
        <w:tc>
          <w:tcPr>
            <w:tcW w:w="14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Preferred 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Treasury</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55"/>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share amounts)</w:t>
            </w:r>
          </w:p>
        </w:tc>
        <w:tc>
          <w:tcPr>
            <w:tcW w:w="152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92"/>
              </w:rPr>
              <w:t>(Mezzanine)</w:t>
            </w:r>
          </w:p>
        </w:tc>
        <w:tc>
          <w:tcPr>
            <w:tcW w:w="14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5"/>
              </w:rPr>
              <w:t>Series B</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ind w:left="260"/>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2"/>
                <w:szCs w:val="2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r>
      <w:tr>
        <w:trPr>
          <w:trHeight w:val="237"/>
        </w:trPr>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Pr>
          <w:p>
            <w:pPr>
              <w:spacing w:after="0"/>
              <w:rPr>
                <w:sz w:val="20"/>
                <w:szCs w:val="20"/>
                <w:color w:val="auto"/>
              </w:rPr>
            </w:pPr>
          </w:p>
        </w:tc>
        <w:tc>
          <w:tcPr>
            <w:tcW w:w="10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r>
      <w:tr>
        <w:trPr>
          <w:trHeight w:val="188"/>
        </w:trPr>
        <w:tc>
          <w:tcPr>
            <w:tcW w:w="1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6"/>
              </w:rPr>
              <w:t>Balance at December 31,</w:t>
            </w: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22,387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5,584</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5,610,121</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74,618,240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532,641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(498,676)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33,840</w:t>
            </w: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Stock issued for the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w w:val="99"/>
              </w:rPr>
              <w:t>exercise of stock options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71,960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110,726</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7,906</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Components of net loss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(14,138)</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(14,138)</w:t>
            </w: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Employee stock purchase</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29,327</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1980" w:type="dxa"/>
            <w:vAlign w:val="bottom"/>
            <w:gridSpan w:val="2"/>
          </w:tcPr>
          <w:p>
            <w:pPr>
              <w:spacing w:after="0"/>
              <w:rPr>
                <w:sz w:val="20"/>
                <w:szCs w:val="20"/>
                <w:color w:val="auto"/>
              </w:rPr>
            </w:pPr>
            <w:r>
              <w:rPr>
                <w:rFonts w:ascii="Arial" w:cs="Arial" w:eastAsia="Arial" w:hAnsi="Arial"/>
                <w:sz w:val="18"/>
                <w:szCs w:val="18"/>
                <w:color w:val="auto"/>
              </w:rPr>
              <w:t>conversion</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88"/>
        </w:trPr>
        <w:tc>
          <w:tcPr>
            <w:tcW w:w="1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Balance at September 30,</w:t>
            </w: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57"/>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22,386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5,584</w:t>
            </w:r>
          </w:p>
        </w:tc>
        <w:tc>
          <w:tcPr>
            <w:tcW w:w="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5,610,121</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74,832,278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540,706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27,767</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0"/>
              </w:rPr>
              <w:t>Nine Months Ended September 30, 2023</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Convertible</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Preferred Stock</w:t>
            </w:r>
          </w:p>
        </w:tc>
        <w:tc>
          <w:tcPr>
            <w:tcW w:w="14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Convertible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4"/>
              </w:rPr>
              <w:t>Stockholders’</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w:t>
            </w:r>
          </w:p>
        </w:tc>
        <w:tc>
          <w:tcPr>
            <w:tcW w:w="152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88"/>
              </w:rPr>
              <w:t>Series A</w:t>
            </w:r>
          </w:p>
        </w:tc>
        <w:tc>
          <w:tcPr>
            <w:tcW w:w="14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Preferred 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Treasury</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r>
      <w:tr>
        <w:trPr>
          <w:trHeight w:val="255"/>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share amounts)</w:t>
            </w:r>
          </w:p>
        </w:tc>
        <w:tc>
          <w:tcPr>
            <w:tcW w:w="152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2"/>
              </w:rPr>
              <w:t>(Mezzanine)</w:t>
            </w:r>
          </w:p>
        </w:tc>
        <w:tc>
          <w:tcPr>
            <w:tcW w:w="14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Series B</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ind w:left="260"/>
              <w:spacing w:after="0"/>
              <w:rPr>
                <w:sz w:val="20"/>
                <w:szCs w:val="20"/>
                <w:color w:val="auto"/>
              </w:rPr>
            </w:pPr>
            <w:r>
              <w:rPr>
                <w:rFonts w:ascii="Arial" w:cs="Arial" w:eastAsia="Arial" w:hAnsi="Arial"/>
                <w:sz w:val="18"/>
                <w:szCs w:val="18"/>
                <w:b w:val="1"/>
                <w:bCs w:val="1"/>
                <w:color w:val="auto"/>
                <w:w w:val="89"/>
              </w:rPr>
              <w:t>Common Stock</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2"/>
                <w:szCs w:val="2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22"/>
                <w:szCs w:val="2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Deficit</w:t>
            </w:r>
          </w:p>
        </w:tc>
        <w:tc>
          <w:tcPr>
            <w:tcW w:w="16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(Deficit)</w:t>
            </w:r>
          </w:p>
        </w:tc>
      </w:tr>
      <w:tr>
        <w:trPr>
          <w:trHeight w:val="236"/>
        </w:trPr>
        <w:tc>
          <w:tcPr>
            <w:tcW w:w="19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6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gridSpan w:val="2"/>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9"/>
              </w:rPr>
              <w:t>Shares</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Pr>
          <w:p>
            <w:pPr>
              <w:spacing w:after="0"/>
              <w:rPr>
                <w:sz w:val="20"/>
                <w:szCs w:val="20"/>
                <w:color w:val="auto"/>
              </w:rPr>
            </w:pPr>
          </w:p>
        </w:tc>
        <w:tc>
          <w:tcPr>
            <w:tcW w:w="10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r>
      <w:tr>
        <w:trPr>
          <w:trHeight w:val="216"/>
        </w:trPr>
        <w:tc>
          <w:tcPr>
            <w:tcW w:w="19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Balance at December 31,</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22,383</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5,583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5,610,121</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74,874,459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543,438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(516,967)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26,346</w:t>
            </w: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Stock issued for the</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w w:val="99"/>
              </w:rPr>
              <w:t>exercise of stock options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30,384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316,646</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7,987</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Components of net loss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(15,673)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(15,673)</w:t>
            </w:r>
          </w:p>
        </w:tc>
      </w:tr>
      <w:tr>
        <w:trPr>
          <w:trHeight w:val="202"/>
        </w:trPr>
        <w:tc>
          <w:tcPr>
            <w:tcW w:w="1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Employee stock purchase</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41,685</w:t>
            </w: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r>
      <w:tr>
        <w:trPr>
          <w:trHeight w:val="202"/>
        </w:trPr>
        <w:tc>
          <w:tcPr>
            <w:tcW w:w="198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1980" w:type="dxa"/>
            <w:vAlign w:val="bottom"/>
            <w:gridSpan w:val="2"/>
          </w:tcPr>
          <w:p>
            <w:pPr>
              <w:spacing w:after="0"/>
              <w:rPr>
                <w:sz w:val="20"/>
                <w:szCs w:val="20"/>
                <w:color w:val="auto"/>
              </w:rPr>
            </w:pPr>
            <w:r>
              <w:rPr>
                <w:rFonts w:ascii="Arial" w:cs="Arial" w:eastAsia="Arial" w:hAnsi="Arial"/>
                <w:sz w:val="18"/>
                <w:szCs w:val="18"/>
                <w:color w:val="auto"/>
              </w:rPr>
              <w:t>conversion</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(5,610,121)</w:t>
            </w:r>
          </w:p>
        </w:tc>
        <w:tc>
          <w:tcPr>
            <w:tcW w:w="460" w:type="dxa"/>
            <w:vAlign w:val="bottom"/>
          </w:tcPr>
          <w:p>
            <w:pPr>
              <w:spacing w:after="0"/>
              <w:rPr>
                <w:sz w:val="21"/>
                <w:szCs w:val="21"/>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5,610,121</w:t>
            </w:r>
          </w:p>
        </w:tc>
        <w:tc>
          <w:tcPr>
            <w:tcW w:w="400" w:type="dxa"/>
            <w:vAlign w:val="bottom"/>
          </w:tcPr>
          <w:p>
            <w:pPr>
              <w:spacing w:after="0"/>
              <w:rPr>
                <w:sz w:val="21"/>
                <w:szCs w:val="21"/>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88"/>
        </w:trPr>
        <w:tc>
          <w:tcPr>
            <w:tcW w:w="19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Balance at September 30,</w:t>
            </w:r>
          </w:p>
        </w:tc>
        <w:tc>
          <w:tcPr>
            <w:tcW w:w="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57"/>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22,383</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5,583</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80,873,295</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551,480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18,715</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37"/>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(15,673)</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(14,138)</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457</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7,987</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7,906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and short-term investment discount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1,088</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(3,280)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8"/>
                <w:szCs w:val="18"/>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0"/>
                <w:szCs w:val="20"/>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(2,009)</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Proceeds from maturity of short-term investments</w:t>
            </w:r>
          </w:p>
        </w:tc>
        <w:tc>
          <w:tcPr>
            <w:tcW w:w="30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20,131</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19,765</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net of issuance costs</w:t>
            </w:r>
          </w:p>
        </w:tc>
        <w:tc>
          <w:tcPr>
            <w:tcW w:w="3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21"/>
                <w:szCs w:val="2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13,120</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(7,713)</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9,855</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40,144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Purchase of property and equipment included in accounts payable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744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Reconciliation of cash, cash equivalents, and restricted cash to balance sheet as of September</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30th:</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22,100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30,938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Restricted cash - current</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21"/>
                <w:szCs w:val="21"/>
                <w:color w:val="auto"/>
              </w:rPr>
            </w:pPr>
          </w:p>
        </w:tc>
      </w:tr>
      <w:tr>
        <w:trPr>
          <w:trHeight w:val="216"/>
        </w:trPr>
        <w:tc>
          <w:tcPr>
            <w:tcW w:w="7440" w:type="dxa"/>
            <w:vAlign w:val="bottom"/>
            <w:tcBorders>
              <w:top w:val="single" w:sz="8" w:color="CCEEFF"/>
            </w:tcBorders>
          </w:tcPr>
          <w:p>
            <w:pPr>
              <w:ind w:left="36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22,975</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jc w:val="both"/>
        <w:ind w:firstLine="324"/>
        <w:spacing w:after="0" w:line="200" w:lineRule="auto"/>
        <w:rPr>
          <w:sz w:val="20"/>
          <w:szCs w:val="20"/>
          <w:color w:val="auto"/>
        </w:rPr>
      </w:pPr>
      <w:r>
        <w:rPr>
          <w:rFonts w:ascii="Arial" w:cs="Arial" w:eastAsia="Arial" w:hAnsi="Arial"/>
          <w:sz w:val="17"/>
          <w:szCs w:val="17"/>
          <w:color w:val="auto"/>
        </w:rPr>
        <w:t>In this report, “Stereotaxis”, the “Company”, “Registrant”, “we”, “us”, and “our” refer to Stereotaxis, Inc. and its wholly owned subsidiaries. Genesis RMN</w:t>
      </w:r>
      <w:r>
        <w:rPr>
          <w:rFonts w:ascii="Arial" w:cs="Arial" w:eastAsia="Arial" w:hAnsi="Arial"/>
          <w:sz w:val="28"/>
          <w:szCs w:val="28"/>
          <w:color w:val="auto"/>
          <w:vertAlign w:val="superscript"/>
        </w:rPr>
        <w:t>®</w:t>
      </w:r>
      <w:r>
        <w:rPr>
          <w:rFonts w:ascii="Arial" w:cs="Arial" w:eastAsia="Arial" w:hAnsi="Arial"/>
          <w:sz w:val="17"/>
          <w:szCs w:val="17"/>
          <w:color w:val="auto"/>
        </w:rPr>
        <w:t>, Niobe</w:t>
      </w:r>
      <w:r>
        <w:rPr>
          <w:rFonts w:ascii="Arial" w:cs="Arial" w:eastAsia="Arial" w:hAnsi="Arial"/>
          <w:sz w:val="28"/>
          <w:szCs w:val="28"/>
          <w:color w:val="auto"/>
          <w:vertAlign w:val="superscript"/>
        </w:rPr>
        <w:t>®</w:t>
      </w:r>
      <w:r>
        <w:rPr>
          <w:rFonts w:ascii="Arial" w:cs="Arial" w:eastAsia="Arial" w:hAnsi="Arial"/>
          <w:sz w:val="17"/>
          <w:szCs w:val="17"/>
          <w:color w:val="auto"/>
        </w:rPr>
        <w:t>, Navigant</w:t>
      </w:r>
      <w:r>
        <w:rPr>
          <w:rFonts w:ascii="Arial" w:cs="Arial" w:eastAsia="Arial" w:hAnsi="Arial"/>
          <w:sz w:val="28"/>
          <w:szCs w:val="28"/>
          <w:color w:val="auto"/>
          <w:vertAlign w:val="superscript"/>
        </w:rPr>
        <w:t>®</w:t>
      </w:r>
      <w:r>
        <w:rPr>
          <w:rFonts w:ascii="Arial" w:cs="Arial" w:eastAsia="Arial" w:hAnsi="Arial"/>
          <w:sz w:val="17"/>
          <w:szCs w:val="17"/>
          <w:color w:val="auto"/>
        </w:rPr>
        <w:t>, Odyssey</w:t>
      </w:r>
      <w:r>
        <w:rPr>
          <w:rFonts w:ascii="Arial" w:cs="Arial" w:eastAsia="Arial" w:hAnsi="Arial"/>
          <w:sz w:val="28"/>
          <w:szCs w:val="28"/>
          <w:color w:val="auto"/>
          <w:vertAlign w:val="superscript"/>
        </w:rPr>
        <w:t>®</w:t>
      </w:r>
      <w:r>
        <w:rPr>
          <w:rFonts w:ascii="Arial" w:cs="Arial" w:eastAsia="Arial" w:hAnsi="Arial"/>
          <w:sz w:val="17"/>
          <w:szCs w:val="17"/>
          <w:color w:val="auto"/>
        </w:rPr>
        <w:t>, Odyssey Cinema</w:t>
      </w:r>
      <w:r>
        <w:rPr>
          <w:rFonts w:ascii="Arial" w:cs="Arial" w:eastAsia="Arial" w:hAnsi="Arial"/>
          <w:sz w:val="28"/>
          <w:szCs w:val="28"/>
          <w:color w:val="auto"/>
          <w:vertAlign w:val="superscript"/>
        </w:rPr>
        <w:t>™</w:t>
      </w:r>
      <w:r>
        <w:rPr>
          <w:rFonts w:ascii="Arial" w:cs="Arial" w:eastAsia="Arial" w:hAnsi="Arial"/>
          <w:sz w:val="17"/>
          <w:szCs w:val="17"/>
          <w:color w:val="auto"/>
        </w:rPr>
        <w:t>, Vdrive</w:t>
      </w:r>
      <w:r>
        <w:rPr>
          <w:rFonts w:ascii="Arial" w:cs="Arial" w:eastAsia="Arial" w:hAnsi="Arial"/>
          <w:sz w:val="28"/>
          <w:szCs w:val="28"/>
          <w:color w:val="auto"/>
          <w:vertAlign w:val="superscript"/>
        </w:rPr>
        <w:t>®</w:t>
      </w:r>
      <w:r>
        <w:rPr>
          <w:rFonts w:ascii="Arial" w:cs="Arial" w:eastAsia="Arial" w:hAnsi="Arial"/>
          <w:sz w:val="17"/>
          <w:szCs w:val="17"/>
          <w:color w:val="auto"/>
        </w:rPr>
        <w:t>, Vdrive Duo</w:t>
      </w:r>
      <w:r>
        <w:rPr>
          <w:rFonts w:ascii="Arial" w:cs="Arial" w:eastAsia="Arial" w:hAnsi="Arial"/>
          <w:sz w:val="28"/>
          <w:szCs w:val="28"/>
          <w:color w:val="auto"/>
          <w:vertAlign w:val="superscript"/>
        </w:rPr>
        <w:t>™</w:t>
      </w:r>
      <w:r>
        <w:rPr>
          <w:rFonts w:ascii="Arial" w:cs="Arial" w:eastAsia="Arial" w:hAnsi="Arial"/>
          <w:sz w:val="17"/>
          <w:szCs w:val="17"/>
          <w:color w:val="auto"/>
        </w:rPr>
        <w:t>, V-CAS</w:t>
      </w:r>
      <w:r>
        <w:rPr>
          <w:rFonts w:ascii="Arial" w:cs="Arial" w:eastAsia="Arial" w:hAnsi="Arial"/>
          <w:sz w:val="28"/>
          <w:szCs w:val="28"/>
          <w:color w:val="auto"/>
          <w:vertAlign w:val="superscript"/>
        </w:rPr>
        <w:t>™</w:t>
      </w:r>
      <w:r>
        <w:rPr>
          <w:rFonts w:ascii="Arial" w:cs="Arial" w:eastAsia="Arial" w:hAnsi="Arial"/>
          <w:sz w:val="17"/>
          <w:szCs w:val="17"/>
          <w:color w:val="auto"/>
        </w:rPr>
        <w:t>, V-Loop</w:t>
      </w:r>
      <w:r>
        <w:rPr>
          <w:rFonts w:ascii="Arial" w:cs="Arial" w:eastAsia="Arial" w:hAnsi="Arial"/>
          <w:sz w:val="28"/>
          <w:szCs w:val="28"/>
          <w:color w:val="auto"/>
          <w:vertAlign w:val="superscript"/>
        </w:rPr>
        <w:t>™</w:t>
      </w:r>
      <w:r>
        <w:rPr>
          <w:rFonts w:ascii="Arial" w:cs="Arial" w:eastAsia="Arial" w:hAnsi="Arial"/>
          <w:sz w:val="17"/>
          <w:szCs w:val="17"/>
          <w:color w:val="auto"/>
        </w:rPr>
        <w:t>, V-Sono</w:t>
      </w:r>
      <w:r>
        <w:rPr>
          <w:rFonts w:ascii="Arial" w:cs="Arial" w:eastAsia="Arial" w:hAnsi="Arial"/>
          <w:sz w:val="28"/>
          <w:szCs w:val="28"/>
          <w:color w:val="auto"/>
          <w:vertAlign w:val="superscript"/>
        </w:rPr>
        <w:t>™</w:t>
      </w:r>
      <w:r>
        <w:rPr>
          <w:rFonts w:ascii="Arial" w:cs="Arial" w:eastAsia="Arial" w:hAnsi="Arial"/>
          <w:sz w:val="17"/>
          <w:szCs w:val="17"/>
          <w:color w:val="auto"/>
        </w:rPr>
        <w:t>, QuikCAS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Cardiodrive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are trademarks of Stereotaxis, Inc. All other trademarks that appear in this report are the property of their respective owners.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 Description of Business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is substantial real-world evidence and clinical literature for Robotic Magnetic Navigation in electrophysiology. Hundreds of electrophysiologists at over one hundred hospitals globally have treated over 100,000 arrhythmia patients with our robotic technology. Clinical use of our technology has been documented in over 400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primary products include the </w:t>
      </w:r>
      <w:r>
        <w:rPr>
          <w:rFonts w:ascii="Arial" w:cs="Arial" w:eastAsia="Arial" w:hAnsi="Arial"/>
          <w:sz w:val="18"/>
          <w:szCs w:val="18"/>
          <w:i w:val="1"/>
          <w:iCs w:val="1"/>
          <w:color w:val="auto"/>
        </w:rPr>
        <w:t>Genesis RMN</w:t>
      </w:r>
      <w:r>
        <w:rPr>
          <w:rFonts w:ascii="Arial" w:cs="Arial" w:eastAsia="Arial" w:hAnsi="Arial"/>
          <w:sz w:val="18"/>
          <w:szCs w:val="18"/>
          <w:color w:val="auto"/>
        </w:rPr>
        <w:t xml:space="preserve"> System, the </w:t>
      </w:r>
      <w:r>
        <w:rPr>
          <w:rFonts w:ascii="Arial" w:cs="Arial" w:eastAsia="Arial" w:hAnsi="Arial"/>
          <w:sz w:val="18"/>
          <w:szCs w:val="18"/>
          <w:i w:val="1"/>
          <w:iCs w:val="1"/>
          <w:color w:val="auto"/>
        </w:rPr>
        <w:t>Odyssey</w:t>
      </w:r>
      <w:r>
        <w:rPr>
          <w:rFonts w:ascii="Arial" w:cs="Arial" w:eastAsia="Arial" w:hAnsi="Arial"/>
          <w:sz w:val="18"/>
          <w:szCs w:val="18"/>
          <w:color w:val="auto"/>
        </w:rPr>
        <w:t xml:space="preserve"> Solution, and other related devices. We also offer our customers the Stereotaxis Imaging Model S x-ray System and other accessory devices.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Genesis RMN System</w:t>
      </w:r>
      <w:r>
        <w:rPr>
          <w:rFonts w:ascii="Arial" w:cs="Arial" w:eastAsia="Arial" w:hAnsi="Arial"/>
          <w:sz w:val="17"/>
          <w:szCs w:val="17"/>
          <w:color w:val="auto"/>
        </w:rPr>
        <w:t xml:space="preserve"> is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Odyssey Solution</w:t>
      </w:r>
      <w:r>
        <w:rPr>
          <w:rFonts w:ascii="Arial" w:cs="Arial" w:eastAsia="Arial" w:hAnsi="Arial"/>
          <w:sz w:val="18"/>
          <w:szCs w:val="18"/>
          <w:color w:val="auto"/>
        </w:rPr>
        <w:t xml:space="preserve"> consolidates lab information onto one large integrated display, enabling physicians to view and control all the key information in the operating room. This is designed to improve lab layout and procedure efficiency. The system also features a remote viewing and recording capability called </w:t>
      </w:r>
      <w:r>
        <w:rPr>
          <w:rFonts w:ascii="Arial" w:cs="Arial" w:eastAsia="Arial" w:hAnsi="Arial"/>
          <w:sz w:val="18"/>
          <w:szCs w:val="18"/>
          <w:i w:val="1"/>
          <w:iCs w:val="1"/>
          <w:color w:val="auto"/>
        </w:rPr>
        <w:t>Odyssey Cinema,</w:t>
      </w:r>
      <w:r>
        <w:rPr>
          <w:rFonts w:ascii="Arial" w:cs="Arial" w:eastAsia="Arial" w:hAnsi="Arial"/>
          <w:sz w:val="18"/>
          <w:szCs w:val="18"/>
          <w:color w:val="auto"/>
        </w:rPr>
        <w:t xml:space="preserve"> which is an innovative solution that delivers synchronized content for optimized workflow, advanced care, and improved productivity. This tool includes an archiving capability that allows clinicians to store and replay entire procedures or segments of procedures. This information can be accessed from locations throughout the hospital local area network and over the global Odyssey Network providing physicians with a tool for clinical collaboration, remote consultation, and training.</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Stereotaxis Imaging Model S provides an integrated complete solution for a robotic interventional operating room. It is a single-plane, full-power x-ray system and includes the c-arm, powered table, motorized boom, and large high-definition monitors. Stereotaxis Imaging Model S incorporates modern fluoroscopy technology to support high quality imaging while minimizing radiation exposure for patients and physicians. The combination of RMN Systems with Stereotaxis Imaging Model S is designed to reduce the cost of acquisition, the ongoing cost of ownership, and the complexity of installation of a robotic electrophysiology practice.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promote our full suite of products in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We have received regulatory clearances and registration necessary for us to market the </w:t>
      </w:r>
      <w:r>
        <w:rPr>
          <w:rFonts w:ascii="Arial" w:cs="Arial" w:eastAsia="Arial" w:hAnsi="Arial"/>
          <w:sz w:val="16"/>
          <w:szCs w:val="16"/>
          <w:i w:val="1"/>
          <w:iCs w:val="1"/>
          <w:color w:val="auto"/>
        </w:rPr>
        <w:t>Genesis RMN</w:t>
      </w:r>
      <w:r>
        <w:rPr>
          <w:rFonts w:ascii="Arial" w:cs="Arial" w:eastAsia="Arial" w:hAnsi="Arial"/>
          <w:sz w:val="16"/>
          <w:szCs w:val="16"/>
          <w:color w:val="auto"/>
        </w:rPr>
        <w:t xml:space="preserve"> System in the U.S. and Europe, and we are in the process of obtaining necessary registrations for extending our markets in other countries. Our prior generation robotic magnetic navigation system, the </w:t>
      </w:r>
      <w:r>
        <w:rPr>
          <w:rFonts w:ascii="Arial" w:cs="Arial" w:eastAsia="Arial" w:hAnsi="Arial"/>
          <w:sz w:val="16"/>
          <w:szCs w:val="16"/>
          <w:i w:val="1"/>
          <w:iCs w:val="1"/>
          <w:color w:val="auto"/>
        </w:rPr>
        <w:t xml:space="preserve">Niobe </w:t>
      </w:r>
      <w:r>
        <w:rPr>
          <w:rFonts w:ascii="Arial" w:cs="Arial" w:eastAsia="Arial" w:hAnsi="Arial"/>
          <w:sz w:val="16"/>
          <w:szCs w:val="16"/>
          <w:color w:val="auto"/>
        </w:rPr>
        <w:t>System, the</w:t>
      </w:r>
      <w:r>
        <w:rPr>
          <w:rFonts w:ascii="Arial" w:cs="Arial" w:eastAsia="Arial" w:hAnsi="Arial"/>
          <w:sz w:val="16"/>
          <w:szCs w:val="16"/>
          <w:i w:val="1"/>
          <w:iCs w:val="1"/>
          <w:color w:val="auto"/>
        </w:rPr>
        <w:t xml:space="preserve"> Odyssey </w:t>
      </w:r>
      <w:r>
        <w:rPr>
          <w:rFonts w:ascii="Arial" w:cs="Arial" w:eastAsia="Arial" w:hAnsi="Arial"/>
          <w:sz w:val="16"/>
          <w:szCs w:val="16"/>
          <w:color w:val="auto"/>
        </w:rPr>
        <w:t>Solution,</w:t>
      </w:r>
      <w:r>
        <w:rPr>
          <w:rFonts w:ascii="Arial" w:cs="Arial" w:eastAsia="Arial" w:hAnsi="Arial"/>
          <w:sz w:val="16"/>
          <w:szCs w:val="16"/>
          <w:i w:val="1"/>
          <w:iCs w:val="1"/>
          <w:color w:val="auto"/>
        </w:rPr>
        <w:t xml:space="preserve"> Cardiodrive</w:t>
      </w:r>
      <w:r>
        <w:rPr>
          <w:rFonts w:ascii="Arial" w:cs="Arial" w:eastAsia="Arial" w:hAnsi="Arial"/>
          <w:sz w:val="16"/>
          <w:szCs w:val="16"/>
          <w:color w:val="auto"/>
        </w:rPr>
        <w:t>, and various disposable interventional devices have received regulatory clearance in the U.S., Europe,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Canada, China, Japan and various other countries. We have received the regulatory clearance, licensing and/or CE Mark approvals that allow us to market the </w:t>
      </w:r>
      <w:r>
        <w:rPr>
          <w:rFonts w:ascii="Arial" w:cs="Arial" w:eastAsia="Arial" w:hAnsi="Arial"/>
          <w:sz w:val="16"/>
          <w:szCs w:val="16"/>
          <w:i w:val="1"/>
          <w:iCs w:val="1"/>
          <w:color w:val="auto"/>
        </w:rPr>
        <w:t>Vdrive</w:t>
      </w:r>
      <w:r>
        <w:rPr>
          <w:rFonts w:ascii="Arial" w:cs="Arial" w:eastAsia="Arial" w:hAnsi="Arial"/>
          <w:sz w:val="16"/>
          <w:szCs w:val="16"/>
          <w:color w:val="auto"/>
        </w:rPr>
        <w:t xml:space="preserve"> and </w:t>
      </w:r>
      <w:r>
        <w:rPr>
          <w:rFonts w:ascii="Arial" w:cs="Arial" w:eastAsia="Arial" w:hAnsi="Arial"/>
          <w:sz w:val="16"/>
          <w:szCs w:val="16"/>
          <w:i w:val="1"/>
          <w:iCs w:val="1"/>
          <w:color w:val="auto"/>
        </w:rPr>
        <w:t>Vdrive Duo</w:t>
      </w:r>
      <w:r>
        <w:rPr>
          <w:rFonts w:ascii="Arial" w:cs="Arial" w:eastAsia="Arial" w:hAnsi="Arial"/>
          <w:sz w:val="16"/>
          <w:szCs w:val="16"/>
          <w:color w:val="auto"/>
        </w:rPr>
        <w:t xml:space="preserve"> Systems with the </w:t>
      </w:r>
      <w:r>
        <w:rPr>
          <w:rFonts w:ascii="Arial" w:cs="Arial" w:eastAsia="Arial" w:hAnsi="Arial"/>
          <w:sz w:val="16"/>
          <w:szCs w:val="16"/>
          <w:i w:val="1"/>
          <w:iCs w:val="1"/>
          <w:color w:val="auto"/>
        </w:rPr>
        <w:t>V-CAS</w:t>
      </w:r>
      <w:r>
        <w:rPr>
          <w:rFonts w:ascii="Arial" w:cs="Arial" w:eastAsia="Arial" w:hAnsi="Arial"/>
          <w:sz w:val="16"/>
          <w:szCs w:val="16"/>
          <w:color w:val="auto"/>
        </w:rPr>
        <w:t xml:space="preserve">, </w:t>
      </w:r>
      <w:r>
        <w:rPr>
          <w:rFonts w:ascii="Arial" w:cs="Arial" w:eastAsia="Arial" w:hAnsi="Arial"/>
          <w:sz w:val="16"/>
          <w:szCs w:val="16"/>
          <w:i w:val="1"/>
          <w:iCs w:val="1"/>
          <w:color w:val="auto"/>
        </w:rPr>
        <w:t>V-Loop</w:t>
      </w:r>
      <w:r>
        <w:rPr>
          <w:rFonts w:ascii="Arial" w:cs="Arial" w:eastAsia="Arial" w:hAnsi="Arial"/>
          <w:sz w:val="16"/>
          <w:szCs w:val="16"/>
          <w:color w:val="auto"/>
        </w:rPr>
        <w:t xml:space="preserve"> and </w:t>
      </w:r>
      <w:r>
        <w:rPr>
          <w:rFonts w:ascii="Arial" w:cs="Arial" w:eastAsia="Arial" w:hAnsi="Arial"/>
          <w:sz w:val="16"/>
          <w:szCs w:val="16"/>
          <w:i w:val="1"/>
          <w:iCs w:val="1"/>
          <w:color w:val="auto"/>
        </w:rPr>
        <w:t>V-Sono</w:t>
      </w:r>
      <w:r>
        <w:rPr>
          <w:rFonts w:ascii="Arial" w:cs="Arial" w:eastAsia="Arial" w:hAnsi="Arial"/>
          <w:sz w:val="16"/>
          <w:szCs w:val="16"/>
          <w:color w:val="auto"/>
        </w:rPr>
        <w:t xml:space="preserve"> devices in the U.S., Canada and Europe. The Stereotaxis Imaging Model S x-ray System is CE marked and cleared by the FDA. We are pursuing regulatory approvals for the Stereotaxis MAGiC catheter, a robotically-navigated magnetic ablation catheter designed to perform minimally invasive cardiac ablation procedures, in various global geographies. Approval processes can be lengthy and uncertain, submissions may require revised or additional non-clinical and clinical data, and regulatory applications could be denied.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673" w:gutter="0" w:footer="0" w:header="0"/>
        </w:sectPr>
      </w:pPr>
    </w:p>
    <w:bookmarkStart w:id="8" w:name="page9"/>
    <w:bookmarkEnd w:id="8"/>
    <w:p>
      <w:pPr>
        <w:jc w:val="both"/>
        <w:ind w:firstLine="324"/>
        <w:spacing w:after="0" w:line="273" w:lineRule="auto"/>
        <w:rPr>
          <w:sz w:val="20"/>
          <w:szCs w:val="20"/>
          <w:color w:val="auto"/>
        </w:rPr>
      </w:pPr>
      <w:r>
        <w:rPr>
          <w:rFonts w:ascii="Arial" w:cs="Arial" w:eastAsia="Arial" w:hAnsi="Arial"/>
          <w:sz w:val="17"/>
          <w:szCs w:val="17"/>
          <w:color w:val="auto"/>
        </w:rPr>
        <w:t>We have strategic relationships with technology leaders and innovators in the global interventional market. Through these strategic relationships we provide compatibility between our robotic magnetic navigation system, x-ray systems, and digital imaging and 3D catheter location sensing technology, as well as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integrated systems and devices and/or equivalent alternatives. We cannot provide assurance as to the timeline of the ongoing availability of such compatible systems or our ability to obtain equivalent alternatives on competitive terms or at all.</w:t>
      </w:r>
    </w:p>
    <w:p>
      <w:pPr>
        <w:spacing w:after="0" w:line="178" w:lineRule="exact"/>
        <w:rPr>
          <w:sz w:val="20"/>
          <w:szCs w:val="20"/>
          <w:color w:val="auto"/>
        </w:rPr>
      </w:pPr>
    </w:p>
    <w:p>
      <w:pPr>
        <w:ind w:left="340" w:right="7420" w:hanging="8"/>
        <w:spacing w:after="0" w:line="500" w:lineRule="auto"/>
        <w:tabs>
          <w:tab w:leader="none" w:pos="5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spacing w:after="0" w:line="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accompanying unaudited financial statements of Stereotaxis, Inc. have been prepared in accordance with U.S. generally accepted accounting principles (“GAAP”) for interim financial information and the instructions to Form 10-Q. Accordingly, they do not include all the disclosures required by GAAP for complete financial statements. In the opinion of management, they include all adjustments, consisting only of normal recurring adjustments, necessary for a fair presentation of the results for the interim periods presented. Operating results for the nine-month period ended September 30, 2023, are not necessarily indicative of the results that may be expected for the year ending December 31, 2023, or for future operating periods.</w:t>
      </w:r>
    </w:p>
    <w:p>
      <w:pPr>
        <w:spacing w:after="0" w:line="16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interim financial statements and the related notes should be read in conjunction with the annual financial statements and notes included in the Company’s Annual Report on Form 10-K for the year ended December 31, 2022, as filed with the Securities and Exchange Commission (SEC) on March 9,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Future results of operations could be materially adversely impacted by macroeconomic and geopolitical factors. The Company continues to experience difficulties with periodic worldwide supply chain disruptions, including shortages and inflationary pressures, and logistics delays which make it difficult for us to source parts and ship our products. We have generally been able to conduct normal business activities albeit in a more deliberate manner than prior to the pandemic, including taking action to increase inventory levels, but we cannot guarantee that they will not be impacted more severely in the future. Our suppliers and contract manufacturers have experienced, and may continue to experience, similar difficulties. If our manufacturing operations or supply chains are materially interrupted, it may not be possible for us to timely manufacture or service our products at required levels, or at all. Changes in economic conditions and supply chain constraints could lead to higher inflation than previously experienced or expected, which could, in turn, lead to an increase in costs. We may be unable to raise the prices of our products sufficiently to keep up with the rate of inflation. A material reduction or interruption in any of our manufacturing processes or a substantial increase in costs would have a material adverse effect on our business, operating results, and financial condition.</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Many of our hospital customers, for whom the purchase of our system involves a significant capital purchase which may be part of a larger construction project at the customer site (typically the construction of a new building), may themselves be under economic pressures. Hospitals continue to experience challenges with staffing and cost pressures as supply chain constraints and inflation drive up operating costs. This may cause delays or cancellations of current purchase orders and other commitments and may exacerbate the long and variable sales and installation cycles for our robotic magnetic navigation systems. Our hospital customers have also experienced challenges in sourcing supplies, such as catheters, needed to perform procedures. Such shortages have, and may continue to, put pressure on procedures and our disposable revenue.</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disruption to the capital markets could negatively impact our ability to raise capital. If the capital markets are disrupted for an extended period of time and we need to raise additional capital, such capital may not be available on acceptable terms, or at all. Disruptions to the capital markets and other financing sources could also negatively impact our hospital customers’ ability to raise capital or otherwise obtain financing to fund their operations and capital projects. Such could result in delayed spending on current projects, a longer sales cycle for new projects where a large capital commitment is required, and decreased demand for our disposable products as well as an increased risk of customer defaults or delays in payments for our systems installation, service contracts and disposable products.</w:t>
      </w:r>
    </w:p>
    <w:p>
      <w:pPr>
        <w:spacing w:after="0" w:line="1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the aforementioned macroeconomic factors, the COVID-19 pandemic or similar occurrences may continue to negatively affect demand for both our systems and our disposable products. In the past, we have experienced business disruptions, including travel restrictions on us and our third-party distributors, which negatively affected our complex sales, marketing, installation, distribution and service network relating to our products and services. We also experienced reductions in demand for our disposable products as our healthcare customers (physicians and hospitals) re-prioritized the treatment of patients and diverted resources away from non-coronavirus areas, leading to the performance of fewer procedures in which our disposable products are used. Significant decreases to our capital or recurring revenues could have a material adverse effect on our business, operating results, and financial condition. While we cannot reliably estimate the ultimate duration of the impact or the severity of ongoing periodic resurgences of pandemic-related issues, we continue to anticipate periodic disruptions to our manufacturing operations, supply chains, procedures volumes, service activities, and capital system orders and placements, any of which could have a material adverse effect on our business, financial condition, results of operations, or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and marketable securities. Our investments may include, at any time, a diversified portfolio of cash equivalents and short-term and long-term investments in a variety of high-quality securities, including money market funds, U.S. treasury and U.S. government agency securities, corporate notes and bonds, commercial paper, non-U.S. government agency securities, and municipal notes. The Company’s exposure to any individual corporate entity is limited by policy. Deposits may exceed federally insured limits, and the Company is exposed to credit risk on deposits in the event of default by the financial institutions to the extent account balances exceed the amount insured by the Federal Deposit Insurance Corporation (FDIC). 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On March 10, 2023, Silicon Valley Bank (“SVB”), where the Company maintained accounts with a cash balance of less than 6% of the Company’s total cash, cash equivalents and marketable securities, was closed by the California Department of Financial Protection and Innovation and the FDIC was appointed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26, 2023, it was announced that First-Citizens Bank &amp; Trust Company would assume all of SVB’s deposits and loans as of March 27, 2023. During the periods presented, the Company has not experienced any losses on its deposits of cash, cash equivalents or marketable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include cash on hand, money market instruments, and other highly liquid investments with original maturities of three months or less.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primarily consists of cash that the Company is obligated to maintain in accordance with contractual obligations. The Company’s restricted cash was $0.9 million and $1.3 million as of September 30, 2023, and December 31, 2022,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investments may include, at any time, a diversified portfolio of cash equivalents and short-and long-term investments in a variety of high-quality securities, including money market funds, U.S. treasury and U.S. government agency securities, corporate notes and bonds, commercial paper, non-U.S. government agency securities, and municipal notes. As of September 30, 2023, the Company had no short-term investments.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Amortized cost of U.S. treasury securities and marketable debt securities are based on the Company’s purchase price adjusted for accrual of discount, or amortization of premium, and recognition of impairment charges, if any. The amortized cost of securities the Company purchases at a discount or premium will equal the face or par value at maturity or the call date, if applicable. Stated interest on investments is reported as income when earned and is adjusted for amortization or accretion of any premium or discount. Accrued interest receivable on investments, included in other current assets was less than $0.1 million as of September 30, 2023 and December 31, 2022.</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Effective January 1, 2023, the Company reports held to maturity investments net of an allowance for expected credit losses in accordance with Accounting Standards Codification Topic 326, Financial Instruments – Credit Losses (“ASC 326”). The adoption of ASC 326 had no material impact on the Company’s financial results for any prior periods, therefore no cumulative adjustment to beginning retained earnings was recorded. The Company segments its portfolio based on the underlying risk profiles of the securities and has a zero-loss expectation for U.S. treasury and U.S. government agency securities. The Company regularly reviews the securities using the probability of default method and analyzes the unrealized loss positions and evaluates the current expected credit loss by considering factors such as credit ratings, issuer-specific factors, current economic conditions, and reasonable and supportable forecasts. The Company did not have any material expected credit losses on investments or material expected credit losses on accrued interest related to investments during the nine months ended September 30, 2023, or year ended December 31, 2022.</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instruments consist of cash and cash equivalents, restricted cash, investments, accounts receivable, and accounts payable.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measures certain financial assets and liabilities at fair value on a recurring basis. General accounting principles for fair value measurement establishes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are described below:</w:t>
      </w:r>
    </w:p>
    <w:p>
      <w:pPr>
        <w:spacing w:after="0" w:line="187" w:lineRule="exact"/>
        <w:rPr>
          <w:sz w:val="20"/>
          <w:szCs w:val="20"/>
          <w:color w:val="auto"/>
        </w:rPr>
      </w:pPr>
    </w:p>
    <w:p>
      <w:pPr>
        <w:jc w:val="both"/>
        <w:ind w:left="780" w:hanging="768"/>
        <w:spacing w:after="0" w:line="277" w:lineRule="auto"/>
        <w:tabs>
          <w:tab w:leader="none" w:pos="760" w:val="left"/>
        </w:tabs>
        <w:rPr>
          <w:sz w:val="20"/>
          <w:szCs w:val="20"/>
          <w:color w:val="auto"/>
        </w:rPr>
      </w:pPr>
      <w:r>
        <w:rPr>
          <w:rFonts w:ascii="Arial" w:cs="Arial" w:eastAsia="Arial" w:hAnsi="Arial"/>
          <w:sz w:val="18"/>
          <w:szCs w:val="18"/>
          <w:color w:val="auto"/>
        </w:rPr>
        <w:t>Level 1:</w:t>
        <w:tab/>
        <w:t>Values are based on unadjusted quoted prices in active markets that are accessible at the measurement date for identical, unrestricted assets or liabilities.</w:t>
      </w:r>
    </w:p>
    <w:p>
      <w:pPr>
        <w:spacing w:after="0" w:line="170" w:lineRule="exact"/>
        <w:rPr>
          <w:sz w:val="20"/>
          <w:szCs w:val="20"/>
          <w:color w:val="auto"/>
        </w:rPr>
      </w:pPr>
    </w:p>
    <w:p>
      <w:pPr>
        <w:jc w:val="both"/>
        <w:ind w:left="780" w:hanging="768"/>
        <w:spacing w:after="0" w:line="308" w:lineRule="auto"/>
        <w:tabs>
          <w:tab w:leader="none" w:pos="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Values are based on quoted prices for similar instruments in active markets, quoted prices for identical or similar instruments in markets that are not active, or other model-based valuation techniques for which all significant assumptions are observable in the market.</w:t>
      </w:r>
    </w:p>
    <w:p>
      <w:pPr>
        <w:spacing w:after="0" w:line="14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Values are generated from model-based techniques that use significant assumptions not observable in the market.</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September 30, 2023, financial assets classified as Level 2 consisted of money market funds. As of December 31, 2022, financial assets classified as Level 2 consisted of money market funds, U.S. treasury securities and corporate debt securities. The Company reviews trading activity and pricing for these investments as of the measurement date. When sufficient quoted pricing for identical securities is not available, the Company uses market pricing and other observable market inputs for similar securities. These inputs either represent quoted prices for similar assets in active markets or have been derived from observable market data. This approach results in the Level 2 classification of these securities within the fair value hierarchy.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65"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i w:val="1"/>
          <w:iCs w:val="1"/>
          <w:color w:val="auto"/>
        </w:rPr>
        <w:t>Accounts Receivable, Contract Assets, and Allowance for Credit Losses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Accounts receivable primarily include amounts due from hospitals and distributors for acquisition of magnetic systems, associated disposable device sales and service contracts, net of allowances for expected credit losses. Credit is granted on a limited basis, with balances due generally within 30 days of billing. Contract assets primarily represent the difference between the revenue that was earned but not billed on service contracts and revenue from system contracts that was recognized based on the relative selling price of the related performance obligations and the contractual billing terms in the arrangements. Effective January 1, 2023, the Company reports accounts receivable and contract assets net of an allowance for expected credit losses in accordance with Accounting Standards Codification Topic 326, Financial Instruments – Credit Losses (“ASC 326”). The adoption of ASC 326 had no material impact on the Company’s financial results for any prior periods, therefore no cumulative adjustment to beginning retained earnings was recorded. The provision for credit loss is based upon management’s assessment of historical and expected net collections considering business and economic conditions and other collection indicators. We assess collectability by reviewing the accounts receivable aging schedule on an aggregated basis where similar characteristics exist and on an individual basis when we identify specific customers with known disputes or collectability issues. Amounts deemed uncollectible are recorded as an allowance for expected credit losses.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and Costs of Revenue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accounts for revenue in accordance with Accounting Standards Codification Topic 606 (“ASC 606”), “Revenue from Contracts with Customers”.</w:t>
      </w:r>
    </w:p>
    <w:p>
      <w:pPr>
        <w:spacing w:after="0" w:line="17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generate revenue from the initial capital sales of systems as well as recurring revenue from the sale of our proprietary disposable devices, from royalties paid to the Company on the sale of various devices as provided by co-development and co-placement arrangements, and from other recurring revenue including ongoing software updates and service contracts.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account for a contract with a customer when there is a legally enforceable contract between the Company and the customer, the rights of the parties are identified, the contract has commercial substance, and collectability of the contract consideration is probable. We record our revenue based on consideration specified in the contract with each customer, net of any taxes collected from customers that are remitted to government authorities.</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contracts containing multiple products and services, the Company accounts for individual products and services as separate performance obligations if they are distinct, which is if a product or service is separately identifiable from other items in the bundled package, and if a customer can benefit from it on its own or with other resources that are readily available to the customer. The Company recognizes revenues as the performance obligations are satisfied by transferring control of the product or service to a customer.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arrangements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and market conditions. The Company regularly reviews standalone selling prices and updates these estimates if necessary.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recognition policy affects the following revenue streams in our business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Systems:</w:t>
      </w:r>
    </w:p>
    <w:p>
      <w:pPr>
        <w:spacing w:after="0" w:line="22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Contracts related to the sale of systems typically contain separate obligations for the delivery of system(s), installation and an implied obligation to provide software enhancements if and when available for one year following installation. Revenue is recognized when the Company transfers control to the customer, which is generally at the point when acceptance occurs that indicates customer acknowledgment of delivery or installation, depending on the terms of the arrangement. Revenue from the implied obligation to deliver software enhancements if and when available is recognized ratably over the first year following installation of the system as the customer receives the right to software enhancements throughout the period and is included in Other Recurring Revenue. The Company’s system contracts do not provide a right of return. Systems are generally covered by a one-year assurance type warranty; warranty costs were approximately $0.1 million for the nine months ended September 30, 2023, and 2022. Revenue from system delivery and installation represented 39% and 22% of revenue for the nine months ended September 30, 2023, and 2022, respectively.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Disposables:</w:t>
      </w:r>
    </w:p>
    <w:p>
      <w:pPr>
        <w:spacing w:after="0" w:line="225"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Revenue from sales of disposable products is recognized when control is transferred to the customers, which generally occurs at the time of shipment, but can also occur at the time of delivery depending on the customer arrangement. Disposable products are covered by an assurance type warranty that provides for the return of defective products. Warranty costs were not material for the nine months ended September 30, 2023, and 2022. Disposable revenue represented 21% and 29% of revenue for the nine months ended September 30, 2023, and 2022, respectively.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Royalty:</w:t>
      </w:r>
    </w:p>
    <w:p>
      <w:pPr>
        <w:spacing w:after="0" w:line="22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Company receives royalties on the sale of various devices as provided by co-development and co-placement arrangements with various manufacturers. The Company was entitled to royalty payments from Biosense Webster, payable quarterly based on net revenues from sales of the co-developed catheters, during the term of the agreement. Royalty revenue from co-development and co-placement arrangements represented less than 1% and approximately 8% of revenue for the nine months ended September 30, 2023, and 2022, respectively.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u w:val="single" w:color="auto"/>
          <w:color w:val="auto"/>
        </w:rPr>
        <w:t>Other Recurring Revenue:</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Other recurring revenue includes revenue from product maintenance plans, other post warranty maintenance, and the implied obligation to provide software enhancements if and when available for a specified period, typically one year following installation of our systems. Revenue from services and software enhancements is deferred and amortized over the service or update period, which is typically one year. Revenue related to services performed on a time-and-materials basis is recognized when performed. Other recurring revenue represented 40% and 41% of revenue for the nine months ended September 30, 2023, and 2022, respectively.</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following table summarizes the Company’s revenue for systems, disposables, and service and accessories for the nine months ended September 30, 2023, and 2022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31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88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37"/>
        </w:trPr>
        <w:tc>
          <w:tcPr>
            <w:tcW w:w="520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Systems</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3,539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2,413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8"/>
                <w:szCs w:val="18"/>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Disposables, service and accessories</w:t>
            </w:r>
          </w:p>
        </w:tc>
        <w:tc>
          <w:tcPr>
            <w:tcW w:w="8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4,260</w:t>
            </w:r>
          </w:p>
        </w:tc>
        <w:tc>
          <w:tcPr>
            <w:tcW w:w="260" w:type="dxa"/>
            <w:vAlign w:val="bottom"/>
          </w:tcPr>
          <w:p>
            <w:pPr>
              <w:spacing w:after="0"/>
              <w:rPr>
                <w:sz w:val="20"/>
                <w:szCs w:val="20"/>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5,244</w:t>
            </w:r>
          </w:p>
        </w:tc>
        <w:tc>
          <w:tcPr>
            <w:tcW w:w="26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13,533</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16,197</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4"/>
              </w:rPr>
              <w:t>7,799</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4"/>
              </w:rPr>
              <w:t>7,657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Transaction price allocated to remaining performance obligations relates to amounts allocated to products and services for which the revenue has not yet been recognized. A significant portion of this amount relates to the Company’s systems contracts and obligations that will be recognized as revenue in future periods. These obligations are generally satisfied within two years after contract inception but may occasionally extend longer. Transaction price representing revenue to be earned on remaining performance obligations on system contracts was approximately $12.1 million as of September 30, 2023. Performance obligations arising from contracts for disposables and service are generally expected to be satisfied within one year after entering into the contract.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w w:val="96"/>
              </w:rPr>
              <w:t>The following table summarizes the Company’s contract assets and liabilities (in thousands):</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 2022</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 - unbilled receivables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Product shipped, revenue deferred</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service and license fees</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w:t>
            </w:r>
          </w:p>
        </w:tc>
      </w:tr>
      <w:tr>
        <w:trPr>
          <w:trHeight w:val="203"/>
        </w:trPr>
        <w:tc>
          <w:tcPr>
            <w:tcW w:w="74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deferred revenue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8,198</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8,996</w:t>
            </w:r>
          </w:p>
        </w:tc>
        <w:tc>
          <w:tcPr>
            <w:tcW w:w="10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Long-term deferred revenue</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r>
      <w:tr>
        <w:trPr>
          <w:trHeight w:val="217"/>
        </w:trPr>
        <w:tc>
          <w:tcPr>
            <w:tcW w:w="74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current deferred revenue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invoices its customers based on the billing schedules in its sales arrangements. Contract assets primarily represent the difference between the revenue that was earned but not billed on service contracts and revenue from system contracts that was recognized based on the relative selling price of the related satisfied performance obligations and the contractual billing terms in the arrangements. Customer deposits primarily relate to future system sales but can also include deposits on disposable sales. Deferred revenue is primarily related to service contracts, for which the service fees are billed up-front, generally quarterly or annually, and for amounts billed in advance for system contracts for which some performance obligations remain outstanding. For service contracts, the associated deferred revenue is generally recognized ratably over the service period. For system contracts, the associated deferred revenue is recognized when the remaining performance obligations are satisfied. The Company did not have any credit losses on its contract assets for the periods presented therefore no allowance for credit losses was recorded as of September 30, 2023, or December 31, 2022.</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recognized for the nine months ended September 30, 2023, and 2022, that was included in the deferred revenue balance at the beginning of each reporting period was $5.7 million and $5.6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Recognized from the Costs to Obtain a Contract with a Customer</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has determined that sales incentive programs for the Company’s sales team meet the requirements to be capitalized as the Company expects to generate future economic benefits from the related revenue generating contracts after the initial capital sales transaction. The costs capitalized as contract acquisition costs included in prepaid expenses and other assets, in the Company’s balance sheet was $0.1 million and $0.2 million as of September 30, 2023, and December 31, 2022, respectively. The Company did not incur any impairment losses during any of the periods presented.</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of systems revenue include direct product costs, installation labor and other costs, estimated warranty costs, and initial training and product maintenance costs. These costs are recognized at the time of sale. Costs of disposable revenue include direct product costs and estimated warranty costs and are recognized at the time of sale. Cost of revenue from services and license fees are recognized when incurred.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b w:val="1"/>
          <w:bCs w:val="1"/>
          <w:i w:val="1"/>
          <w:iCs w:val="1"/>
          <w:color w:val="auto"/>
        </w:rPr>
        <w:t>Leasing Arrangements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lease is defined as a contract, or part of a contract, that conveys the right to control the use of identified property, plant or equipment for a period of time in exchange for consideration. The Company accounts for leases in accordance with Accounting Standards Update No. 2016-02 “Leases” (Topic 842) and all subsequent ASUs that modified Topic 842 (“ASC 842”). The Company determines if an arrangement contains a lease at inception.</w:t>
      </w:r>
    </w:p>
    <w:p>
      <w:pPr>
        <w:spacing w:after="0" w:line="14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leases its facilities under operating leases. In accordance with ASC 842, operating lease agreements are recognized on the balance sheet as a right-of-use (“ROU”) asset and a corresponding lease liability. These leases generally do not have significant rent escalation holidays, concessions, leasehold improvement incentives, or other build-out clauses. Further, the leases do not contain contingent rent provisions. Many of our leases include both lease (i.e., fixed payments including rent, taxes, and insurance costs) and non-lease components (i.e., common-area or other maintenance costs) which are accounted for as a single lease component as we have elected the practical expedient to group lease and non-lease components for all leases.</w:t>
      </w:r>
    </w:p>
    <w:p>
      <w:pPr>
        <w:spacing w:after="0" w:line="16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The Company elected not to include short-term leases (i.e., leases with initial terms of twelve months or less) on the balance sheet.</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calculated amounts of the ROU assets and lease liabilities are impacted by the length of the lease term and the discount rate used to calculate the present value of the minimum lease payments. ASC 842 requires the use of the discount rate implicit in the lease whenever this rate is readily determinable. As this rate is rarely determinable, the Company utilizes its incremental borrowing rate at lease inception.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accounts for its grants of stock options, stock appreciation rights, restricted shares, restricted stock units and for its employee stock purchase plan in accordance with the provisions of general accounting principles for share-based payments. These accounting principles require the determination of the fair value of the stock-based compensation at the grant date and the recognition of the related expense over the period in which the stock-based compensation vests.</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time-based awards, the Company utilizes the Black-Scholes valuation model to determine the fair value of stock options and stock appreciation rights at the date of grant. The weighted average assumptions and fair value for options granted during the nine months ended September 30, 2023, were 1) expected dividend rate of 0%; 2) expected volatility of 76% based on the Company’s historical volatility; 3) risk-free interest rate based on the Treasury yield on the date of grant; and 4) expected term of 6.25 years. The resulting compensation expense is recognized over the requisite service period, which is generally four years. Restricted shares and units granted to employees are valued at the fair market value at the date of grant. The Company amortizes the fair market value to expense over the service period. If the shares are subject to performance objectives, the resulting compensation expense is amortized over the anticipated vesting period and is subject to adjustment based on the actual achievement of objectives.</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market-based awards, stock-based compensation expense is recognized over the minimum service period regardless of whether or not the market target is probable of being achieved. The fair value of such awards is estimated on the grant date using Monte Carlo simulations.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purchased by employees under the 2022 Employee Stock Purchase Plans are considered to be non-compensatory.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Earnings (Loss) per Common Share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Basic earnings (loss) per common share is computed by dividing the net earnings (loss) for the period by the weighted average number of common shares outstanding during the period. In periods where there is net income, we apply the two-class method to calculate basic and diluted net income (loss) per share of common stock, as our convertible preferred stock is a participating security. The two-class method is an earnings allocation formula that treats a participating security as having rights to earnings that otherwise would have been available to common stockholders. In periods where there is a net loss, the two-class method of computing earnings per share does not apply as our convertible preferred stock does not contractually participate in our losses. We compute diluted net income (loss) per common share using net income (loss) as the “control number” in determining whether potential common shares are dilutive, after giving consideration to all potentially dilutive common shares, including stock options, warrants, unvested restricted stock units outstanding during the period and potential issuance of stock upon the conversion of our convertible preferred stock issued and outstanding during the period, except where the effect of such securities would be antidilutive.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EPS (in thousands except for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316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880" w:type="dxa"/>
            <w:vAlign w:val="bottom"/>
            <w:gridSpan w:val="7"/>
          </w:tcPr>
          <w:p>
            <w:pPr>
              <w:jc w:val="right"/>
              <w:ind w:right="81"/>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37"/>
        </w:trPr>
        <w:tc>
          <w:tcPr>
            <w:tcW w:w="5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100" w:type="dxa"/>
            <w:vAlign w:val="bottom"/>
            <w:shd w:val="clear" w:color="auto" w:fill="CCEEFF"/>
          </w:tcPr>
          <w:p>
            <w:pPr>
              <w:spacing w:after="0"/>
              <w:rPr>
                <w:sz w:val="18"/>
                <w:szCs w:val="18"/>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Cumulative dividend on convertible preferred stock</w:t>
            </w:r>
          </w:p>
        </w:tc>
        <w:tc>
          <w:tcPr>
            <w:tcW w:w="20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(1,005)</w:t>
            </w: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and equivalents: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82,468,971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76,100,007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80,028,243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75,977,920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Basic EPS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1"/>
              <w:spacing w:after="0"/>
              <w:rPr>
                <w:sz w:val="20"/>
                <w:szCs w:val="20"/>
                <w:color w:val="auto"/>
              </w:rPr>
            </w:pPr>
            <w:r>
              <w:rPr>
                <w:rFonts w:ascii="Arial" w:cs="Arial" w:eastAsia="Arial" w:hAnsi="Arial"/>
                <w:sz w:val="18"/>
                <w:szCs w:val="18"/>
                <w:color w:val="auto"/>
              </w:rPr>
              <w:t>(0.07)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(0.21)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(0.07)</w:t>
            </w:r>
          </w:p>
        </w:tc>
        <w:tc>
          <w:tcPr>
            <w:tcW w:w="40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(0.21)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439"/>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3" w:name="page14"/>
    <w:bookmarkEnd w:id="13"/>
    <w:p>
      <w:pPr>
        <w:jc w:val="both"/>
        <w:ind w:firstLine="324"/>
        <w:spacing w:after="0" w:line="259" w:lineRule="auto"/>
        <w:rPr>
          <w:sz w:val="20"/>
          <w:szCs w:val="20"/>
          <w:color w:val="auto"/>
        </w:rPr>
      </w:pPr>
      <w:r>
        <w:rPr>
          <w:rFonts w:ascii="Arial" w:cs="Arial" w:eastAsia="Arial" w:hAnsi="Arial"/>
          <w:sz w:val="18"/>
          <w:szCs w:val="18"/>
          <w:color w:val="auto"/>
        </w:rPr>
        <w:t>The Company did not include any portion of unearned restricted shares, outstanding options, stock appreciation rights, warrants or convertible preferred stock in the calculation of diluted loss per common share because all such securities are anti-dilutive for all periods presented. The application of the two-class method of computing earnings per share under general accounting principles for participating securities is not applicable during these periods because those securities do not contractually participate in its losses.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2023, the Company had 3,769,675 shares of common stock issuable upon the exercise of outstanding options and stock appreciation rights at a weighted average exercise price of $3.93 per share, 48,909,568 shares of our common stock issuable upon conversion of our Series A Convertible Preferred Stock and 1,502,131 shares of unvested restricted share units. The Company had no unearned restricted shares outstanding as of September 30, 2023.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and also issued subsequent amendments to the initial guidance under ASU 2018-19, ASU 2019-04 and ASU 2019-05. The standard modifies the measurement approach for credit losses on financial instruments, including trade receivables, from an incurred loss method to a current expected credit loss method, otherwise known as “CECL.” The standard requires the measurement of expected credit losses to be based on relevant information, including historical experience, current conditions and a forecast that is supportable. The standard is effective for fiscal years beginning after December 15, 2022, including interim periods within those fiscal years; early adoption is permitted. The standard must be adopted by applying a cumulative adjustment to retained earnings. The Company adopted the standard in the first quarter of 2023. The impact to the Company’s financial results was immaterial.</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 Financial Instruments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summarizes the Company’s cash and held to maturity securities’ amortized cost, gross unrealized gains, gross unrealized losses, and fair value by significant investment category reported as cash and cash equivalents, restricted cash and investments as of September 30, 2023, and December 31,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 2023</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88"/>
              </w:rPr>
              <w:t>Valuation</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w w:val="89"/>
              </w:rPr>
              <w:t>Reported as:</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7"/>
                <w:szCs w:val="17"/>
                <w:color w:val="auto"/>
              </w:rPr>
            </w:pPr>
          </w:p>
        </w:tc>
        <w:tc>
          <w:tcPr>
            <w:tcW w:w="940" w:type="dxa"/>
            <w:vAlign w:val="bottom"/>
            <w:gridSpan w:val="2"/>
          </w:tcPr>
          <w:p>
            <w:pPr>
              <w:jc w:val="center"/>
              <w:ind w:right="341"/>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Cash and</w:t>
            </w:r>
          </w:p>
        </w:tc>
        <w:tc>
          <w:tcPr>
            <w:tcW w:w="1060" w:type="dxa"/>
            <w:vAlign w:val="bottom"/>
            <w:gridSpan w:val="4"/>
          </w:tcPr>
          <w:p>
            <w:pPr>
              <w:ind w:left="140"/>
              <w:spacing w:after="0" w:line="198" w:lineRule="exact"/>
              <w:rPr>
                <w:sz w:val="20"/>
                <w:szCs w:val="20"/>
                <w:color w:val="auto"/>
              </w:rPr>
            </w:pPr>
            <w:r>
              <w:rPr>
                <w:rFonts w:ascii="Arial" w:cs="Arial" w:eastAsia="Arial" w:hAnsi="Arial"/>
                <w:sz w:val="18"/>
                <w:szCs w:val="18"/>
                <w:b w:val="1"/>
                <w:bCs w:val="1"/>
                <w:color w:val="auto"/>
              </w:rPr>
              <w:t>Restricted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gridSpan w:val="4"/>
          </w:tcPr>
          <w:p>
            <w:pPr>
              <w:ind w:left="260"/>
              <w:spacing w:after="0"/>
              <w:rPr>
                <w:sz w:val="20"/>
                <w:szCs w:val="20"/>
                <w:color w:val="auto"/>
              </w:rPr>
            </w:pPr>
            <w:r>
              <w:rPr>
                <w:rFonts w:ascii="Arial" w:cs="Arial" w:eastAsia="Arial" w:hAnsi="Arial"/>
                <w:sz w:val="18"/>
                <w:szCs w:val="18"/>
                <w:b w:val="1"/>
                <w:bCs w:val="1"/>
                <w:color w:val="auto"/>
              </w:rPr>
              <w:t>Amortized</w:t>
            </w:r>
          </w:p>
        </w:tc>
        <w:tc>
          <w:tcPr>
            <w:tcW w:w="122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Cash-</w:t>
            </w:r>
          </w:p>
        </w:tc>
        <w:tc>
          <w:tcPr>
            <w:tcW w:w="14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Short-term</w:t>
            </w:r>
          </w:p>
        </w:tc>
        <w:tc>
          <w:tcPr>
            <w:tcW w:w="100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Restricted</w:t>
            </w:r>
          </w:p>
        </w:tc>
        <w:tc>
          <w:tcPr>
            <w:tcW w:w="0" w:type="dxa"/>
            <w:vAlign w:val="bottom"/>
          </w:tcPr>
          <w:p>
            <w:pPr>
              <w:spacing w:after="0"/>
              <w:rPr>
                <w:sz w:val="1"/>
                <w:szCs w:val="1"/>
                <w:color w:val="auto"/>
              </w:rPr>
            </w:pPr>
          </w:p>
        </w:tc>
      </w:tr>
      <w:tr>
        <w:trPr>
          <w:trHeight w:val="241"/>
        </w:trPr>
        <w:tc>
          <w:tcPr>
            <w:tcW w:w="2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94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Equivalents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current</w:t>
            </w:r>
          </w:p>
        </w:tc>
        <w:tc>
          <w:tcPr>
            <w:tcW w:w="120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Cash</w:t>
            </w: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20,561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20,559</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19,686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Subtotal</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20,561</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20,559</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19,686</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Total assets measured at fair</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22,973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0"/>
              </w:rPr>
              <w:t>December 31, 2022</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88"/>
              </w:rPr>
              <w:t>Valuation</w:t>
            </w:r>
          </w:p>
        </w:tc>
        <w:tc>
          <w:tcPr>
            <w:tcW w:w="6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w w:val="89"/>
              </w:rPr>
              <w:t>Reported as:</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7"/>
                <w:szCs w:val="17"/>
                <w:color w:val="auto"/>
              </w:rPr>
            </w:pPr>
          </w:p>
        </w:tc>
        <w:tc>
          <w:tcPr>
            <w:tcW w:w="940" w:type="dxa"/>
            <w:vAlign w:val="bottom"/>
            <w:gridSpan w:val="2"/>
          </w:tcPr>
          <w:p>
            <w:pPr>
              <w:jc w:val="center"/>
              <w:ind w:right="341"/>
              <w:spacing w:after="0" w:line="198"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Cash and</w:t>
            </w:r>
          </w:p>
        </w:tc>
        <w:tc>
          <w:tcPr>
            <w:tcW w:w="1060" w:type="dxa"/>
            <w:vAlign w:val="bottom"/>
            <w:gridSpan w:val="4"/>
          </w:tcPr>
          <w:p>
            <w:pPr>
              <w:ind w:left="140"/>
              <w:spacing w:after="0" w:line="198" w:lineRule="exact"/>
              <w:rPr>
                <w:sz w:val="20"/>
                <w:szCs w:val="20"/>
                <w:color w:val="auto"/>
              </w:rPr>
            </w:pPr>
            <w:r>
              <w:rPr>
                <w:rFonts w:ascii="Arial" w:cs="Arial" w:eastAsia="Arial" w:hAnsi="Arial"/>
                <w:sz w:val="18"/>
                <w:szCs w:val="18"/>
                <w:b w:val="1"/>
                <w:bCs w:val="1"/>
                <w:color w:val="auto"/>
              </w:rPr>
              <w:t>Restricted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gridSpan w:val="4"/>
          </w:tcPr>
          <w:p>
            <w:pPr>
              <w:ind w:left="260"/>
              <w:spacing w:after="0"/>
              <w:rPr>
                <w:sz w:val="20"/>
                <w:szCs w:val="20"/>
                <w:color w:val="auto"/>
              </w:rPr>
            </w:pPr>
            <w:r>
              <w:rPr>
                <w:rFonts w:ascii="Arial" w:cs="Arial" w:eastAsia="Arial" w:hAnsi="Arial"/>
                <w:sz w:val="18"/>
                <w:szCs w:val="18"/>
                <w:b w:val="1"/>
                <w:bCs w:val="1"/>
                <w:color w:val="auto"/>
              </w:rPr>
              <w:t>Amortized</w:t>
            </w:r>
          </w:p>
        </w:tc>
        <w:tc>
          <w:tcPr>
            <w:tcW w:w="1220" w:type="dxa"/>
            <w:vAlign w:val="bottom"/>
            <w:gridSpan w:val="4"/>
          </w:tcPr>
          <w:p>
            <w:pPr>
              <w:ind w:left="120"/>
              <w:spacing w:after="0"/>
              <w:rPr>
                <w:sz w:val="20"/>
                <w:szCs w:val="20"/>
                <w:color w:val="auto"/>
              </w:rPr>
            </w:pPr>
            <w:r>
              <w:rPr>
                <w:rFonts w:ascii="Arial" w:cs="Arial" w:eastAsia="Arial" w:hAnsi="Arial"/>
                <w:sz w:val="18"/>
                <w:szCs w:val="18"/>
                <w:b w:val="1"/>
                <w:bCs w:val="1"/>
                <w:color w:val="auto"/>
              </w:rPr>
              <w:t>Unrealized</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8"/>
                <w:szCs w:val="18"/>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Cash-</w:t>
            </w:r>
          </w:p>
        </w:tc>
        <w:tc>
          <w:tcPr>
            <w:tcW w:w="14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Short-term</w:t>
            </w:r>
          </w:p>
        </w:tc>
        <w:tc>
          <w:tcPr>
            <w:tcW w:w="100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Restricted</w:t>
            </w:r>
          </w:p>
        </w:tc>
        <w:tc>
          <w:tcPr>
            <w:tcW w:w="0" w:type="dxa"/>
            <w:vAlign w:val="bottom"/>
          </w:tcPr>
          <w:p>
            <w:pPr>
              <w:spacing w:after="0"/>
              <w:rPr>
                <w:sz w:val="1"/>
                <w:szCs w:val="1"/>
                <w:color w:val="auto"/>
              </w:rPr>
            </w:pPr>
          </w:p>
        </w:tc>
      </w:tr>
      <w:tr>
        <w:trPr>
          <w:trHeight w:val="241"/>
        </w:trPr>
        <w:tc>
          <w:tcPr>
            <w:tcW w:w="2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940" w:type="dxa"/>
            <w:vAlign w:val="bottom"/>
            <w:gridSpan w:val="2"/>
          </w:tcPr>
          <w:p>
            <w:pPr>
              <w:jc w:val="center"/>
              <w:ind w:right="361"/>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Equivalents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current</w:t>
            </w:r>
          </w:p>
        </w:tc>
        <w:tc>
          <w:tcPr>
            <w:tcW w:w="120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Cash</w:t>
            </w:r>
          </w:p>
        </w:tc>
        <w:tc>
          <w:tcPr>
            <w:tcW w:w="0" w:type="dxa"/>
            <w:vAlign w:val="bottom"/>
          </w:tcPr>
          <w:p>
            <w:pPr>
              <w:spacing w:after="0"/>
              <w:rPr>
                <w:sz w:val="1"/>
                <w:szCs w:val="1"/>
                <w:color w:val="auto"/>
              </w:rPr>
            </w:pPr>
          </w:p>
        </w:tc>
      </w:tr>
      <w:tr>
        <w:trPr>
          <w:trHeight w:val="216"/>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14,833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14,833</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9,851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9,987</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Subtotal</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26,441</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280" w:type="dxa"/>
            <w:vAlign w:val="bottom"/>
            <w:tcBorders>
              <w:top w:val="single" w:sz="8" w:color="CCEEFF"/>
              <w:bottom w:val="single" w:sz="8" w:color="CCEEFF"/>
            </w:tcBorders>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26,435</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5,328</w:t>
            </w: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19,844</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Total assets measured at fair</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29,699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29,693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19,844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recorded for these investments was approximately $0.8 million and $0.5 million during the nine months ended September 30, 2023, and the year ended December 31, 2022, respectively.</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2023, and December 31, 2022, the Company did not have any financial assets classified as Level 1 or Level 3 nor did the Company have financial liabilities valued at fair value on a recurring basis.</w:t>
      </w:r>
    </w:p>
    <w:p>
      <w:pPr>
        <w:sectPr>
          <w:pgSz w:w="11900" w:h="16838" w:orient="portrait"/>
          <w:cols w:equalWidth="0" w:num="1">
            <w:col w:w="11240"/>
          </w:cols>
          <w:pgMar w:left="320" w:top="665" w:right="339" w:bottom="0" w:gutter="0" w:footer="0" w:header="0"/>
        </w:sectPr>
      </w:pP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 Inventories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Reserve for excess and obsolescence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7"/>
        <w:spacing w:after="0"/>
        <w:rPr>
          <w:sz w:val="20"/>
          <w:szCs w:val="20"/>
          <w:color w:val="auto"/>
        </w:rPr>
      </w:pPr>
      <w:r>
        <w:rPr>
          <w:rFonts w:ascii="Arial" w:cs="Arial" w:eastAsia="Arial" w:hAnsi="Arial"/>
          <w:sz w:val="17"/>
          <w:szCs w:val="17"/>
          <w:b w:val="1"/>
          <w:bCs w:val="1"/>
          <w:color w:val="auto"/>
        </w:rPr>
        <w:t>September 30, 2023</w:t>
      </w:r>
    </w:p>
    <w:p>
      <w:pPr>
        <w:spacing w:after="0" w:line="52" w:lineRule="exact"/>
        <w:rPr>
          <w:sz w:val="20"/>
          <w:szCs w:val="20"/>
          <w:color w:val="auto"/>
        </w:rPr>
      </w:pPr>
    </w:p>
    <w:p>
      <w:pPr>
        <w:ind w:left="1287" w:hanging="1287"/>
        <w:spacing w:after="0"/>
        <w:tabs>
          <w:tab w:leader="none" w:pos="1287" w:val="left"/>
        </w:tabs>
        <w:numPr>
          <w:ilvl w:val="0"/>
          <w:numId w:val="4"/>
        </w:numPr>
        <w:rPr>
          <w:rFonts w:ascii="Arial" w:cs="Arial" w:eastAsia="Arial" w:hAnsi="Arial"/>
          <w:sz w:val="18"/>
          <w:szCs w:val="18"/>
          <w:color w:val="auto"/>
        </w:rPr>
      </w:pPr>
      <w:r>
        <w:rPr>
          <w:rFonts w:ascii="Arial" w:cs="Arial" w:eastAsia="Arial" w:hAnsi="Arial"/>
          <w:sz w:val="18"/>
          <w:szCs w:val="18"/>
          <w:color w:val="auto"/>
        </w:rPr>
        <w:t>6,490</w:t>
      </w:r>
    </w:p>
    <w:p>
      <w:pPr>
        <w:spacing w:after="0" w:line="23" w:lineRule="exact"/>
        <w:rPr>
          <w:rFonts w:ascii="Arial" w:cs="Arial" w:eastAsia="Arial" w:hAnsi="Arial"/>
          <w:sz w:val="18"/>
          <w:szCs w:val="18"/>
          <w:color w:val="auto"/>
        </w:rPr>
      </w:pPr>
    </w:p>
    <w:p>
      <w:pPr>
        <w:ind w:left="1427"/>
        <w:spacing w:after="0"/>
        <w:rPr>
          <w:rFonts w:ascii="Arial" w:cs="Arial" w:eastAsia="Arial" w:hAnsi="Arial"/>
          <w:sz w:val="18"/>
          <w:szCs w:val="18"/>
          <w:color w:val="auto"/>
        </w:rPr>
      </w:pPr>
      <w:r>
        <w:rPr>
          <w:rFonts w:ascii="Arial" w:cs="Arial" w:eastAsia="Arial" w:hAnsi="Arial"/>
          <w:sz w:val="18"/>
          <w:szCs w:val="18"/>
          <w:color w:val="auto"/>
        </w:rPr>
        <w:t>542</w:t>
      </w:r>
    </w:p>
    <w:p>
      <w:pPr>
        <w:spacing w:after="0" w:line="9" w:lineRule="exact"/>
        <w:rPr>
          <w:sz w:val="20"/>
          <w:szCs w:val="20"/>
          <w:color w:val="auto"/>
        </w:rPr>
      </w:pPr>
    </w:p>
    <w:p>
      <w:pPr>
        <w:ind w:left="1287"/>
        <w:spacing w:after="0"/>
        <w:rPr>
          <w:sz w:val="20"/>
          <w:szCs w:val="20"/>
          <w:color w:val="auto"/>
        </w:rPr>
      </w:pPr>
      <w:r>
        <w:rPr>
          <w:rFonts w:ascii="Arial" w:cs="Arial" w:eastAsia="Arial" w:hAnsi="Arial"/>
          <w:sz w:val="18"/>
          <w:szCs w:val="18"/>
          <w:color w:val="auto"/>
        </w:rPr>
        <w:t>1,633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(1,877)</w:t>
      </w:r>
    </w:p>
    <w:p>
      <w:pPr>
        <w:spacing w:after="0" w:line="49" w:lineRule="exact"/>
        <w:rPr>
          <w:sz w:val="20"/>
          <w:szCs w:val="20"/>
          <w:color w:val="auto"/>
        </w:rPr>
      </w:pPr>
    </w:p>
    <w:p>
      <w:pPr>
        <w:ind w:left="1287" w:hanging="1287"/>
        <w:spacing w:after="0"/>
        <w:tabs>
          <w:tab w:leader="none" w:pos="1287" w:val="left"/>
        </w:tabs>
        <w:numPr>
          <w:ilvl w:val="0"/>
          <w:numId w:val="5"/>
        </w:numPr>
        <w:rPr>
          <w:rFonts w:ascii="Arial" w:cs="Arial" w:eastAsia="Arial" w:hAnsi="Arial"/>
          <w:sz w:val="18"/>
          <w:szCs w:val="18"/>
          <w:color w:val="auto"/>
        </w:rPr>
      </w:pPr>
      <w:r>
        <w:rPr>
          <w:rFonts w:ascii="Arial" w:cs="Arial" w:eastAsia="Arial" w:hAnsi="Arial"/>
          <w:sz w:val="18"/>
          <w:szCs w:val="18"/>
          <w:color w:val="auto"/>
        </w:rPr>
        <w:t>6,788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801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2"/>
        <w:spacing w:after="0"/>
        <w:rPr>
          <w:sz w:val="20"/>
          <w:szCs w:val="20"/>
          <w:color w:val="auto"/>
        </w:rPr>
      </w:pPr>
      <w:r>
        <w:rPr>
          <w:rFonts w:ascii="Arial" w:cs="Arial" w:eastAsia="Arial" w:hAnsi="Arial"/>
          <w:sz w:val="18"/>
          <w:szCs w:val="18"/>
          <w:b w:val="1"/>
          <w:bCs w:val="1"/>
          <w:color w:val="auto"/>
        </w:rPr>
        <w:t>December 31, 2022</w:t>
      </w:r>
    </w:p>
    <w:p>
      <w:pPr>
        <w:spacing w:after="0" w:line="40" w:lineRule="exact"/>
        <w:rPr>
          <w:sz w:val="20"/>
          <w:szCs w:val="20"/>
          <w:color w:val="auto"/>
        </w:rPr>
      </w:pPr>
    </w:p>
    <w:p>
      <w:pPr>
        <w:ind w:left="1262" w:hanging="1262"/>
        <w:spacing w:after="0"/>
        <w:tabs>
          <w:tab w:leader="none" w:pos="1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6,556</w:t>
      </w:r>
    </w:p>
    <w:p>
      <w:pPr>
        <w:spacing w:after="0" w:line="23" w:lineRule="exact"/>
        <w:rPr>
          <w:rFonts w:ascii="Arial" w:cs="Arial" w:eastAsia="Arial" w:hAnsi="Arial"/>
          <w:sz w:val="18"/>
          <w:szCs w:val="18"/>
          <w:color w:val="auto"/>
        </w:rPr>
      </w:pPr>
    </w:p>
    <w:p>
      <w:pPr>
        <w:ind w:left="1402"/>
        <w:spacing w:after="0"/>
        <w:rPr>
          <w:rFonts w:ascii="Arial" w:cs="Arial" w:eastAsia="Arial" w:hAnsi="Arial"/>
          <w:sz w:val="18"/>
          <w:szCs w:val="18"/>
          <w:color w:val="auto"/>
        </w:rPr>
      </w:pPr>
      <w:r>
        <w:rPr>
          <w:rFonts w:ascii="Arial" w:cs="Arial" w:eastAsia="Arial" w:hAnsi="Arial"/>
          <w:sz w:val="18"/>
          <w:szCs w:val="18"/>
          <w:color w:val="auto"/>
        </w:rPr>
        <w:t>530</w:t>
      </w:r>
    </w:p>
    <w:p>
      <w:pPr>
        <w:spacing w:after="0" w:line="9" w:lineRule="exact"/>
        <w:rPr>
          <w:sz w:val="20"/>
          <w:szCs w:val="20"/>
          <w:color w:val="auto"/>
        </w:rPr>
      </w:pPr>
    </w:p>
    <w:p>
      <w:pPr>
        <w:ind w:left="1262"/>
        <w:spacing w:after="0"/>
        <w:rPr>
          <w:sz w:val="20"/>
          <w:szCs w:val="20"/>
          <w:color w:val="auto"/>
        </w:rPr>
      </w:pPr>
      <w:r>
        <w:rPr>
          <w:rFonts w:ascii="Arial" w:cs="Arial" w:eastAsia="Arial" w:hAnsi="Arial"/>
          <w:sz w:val="18"/>
          <w:szCs w:val="18"/>
          <w:color w:val="auto"/>
        </w:rPr>
        <w:t>2,697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(1,907)</w:t>
      </w:r>
    </w:p>
    <w:p>
      <w:pPr>
        <w:spacing w:after="0" w:line="49" w:lineRule="exact"/>
        <w:rPr>
          <w:sz w:val="20"/>
          <w:szCs w:val="20"/>
          <w:color w:val="auto"/>
        </w:rPr>
      </w:pPr>
    </w:p>
    <w:p>
      <w:pPr>
        <w:ind w:left="1262" w:hanging="1262"/>
        <w:spacing w:after="0"/>
        <w:tabs>
          <w:tab w:leader="none" w:pos="1262" w:val="left"/>
        </w:tabs>
        <w:numPr>
          <w:ilvl w:val="0"/>
          <w:numId w:val="7"/>
        </w:numPr>
        <w:rPr>
          <w:rFonts w:ascii="Arial" w:cs="Arial" w:eastAsia="Arial" w:hAnsi="Arial"/>
          <w:sz w:val="18"/>
          <w:szCs w:val="18"/>
          <w:color w:val="auto"/>
        </w:rPr>
      </w:pPr>
      <w:r>
        <w:rPr>
          <w:rFonts w:ascii="Arial" w:cs="Arial" w:eastAsia="Arial" w:hAnsi="Arial"/>
          <w:sz w:val="18"/>
          <w:szCs w:val="18"/>
          <w:color w:val="auto"/>
        </w:rPr>
        <w:t>7,876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62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713" w:space="720"/>
            <w:col w:w="1767" w:space="258"/>
            <w:col w:w="1782"/>
          </w:cols>
          <w:pgMar w:left="320" w:top="665" w:right="339" w:bottom="0" w:gutter="0" w:footer="0" w:header="0"/>
          <w:type w:val="continuous"/>
        </w:sectPr>
      </w:pP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reserve for excess and obsolescence primarily includes Niobe Systems and related raw materials and spare parts.</w:t>
      </w:r>
    </w:p>
    <w:p>
      <w:pPr>
        <w:sectPr>
          <w:pgSz w:w="11900" w:h="16838" w:orient="portrait"/>
          <w:cols w:equalWidth="0" w:num="1">
            <w:col w:w="11240"/>
          </w:cols>
          <w:pgMar w:left="320" w:top="665" w:right="339" w:bottom="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5. Prepaid Expenses and Other Assets</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color w:val="auto"/>
              </w:rPr>
              <w:t>Prepaid expenses and other assets consist of the following (in thousands):</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Pr>
          <w:p>
            <w:pPr>
              <w:spacing w:after="0"/>
              <w:rPr>
                <w:sz w:val="24"/>
                <w:szCs w:val="24"/>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December 31, 2022</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Prepaid commissions</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0"/>
                <w:szCs w:val="20"/>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assets</w:t>
            </w:r>
          </w:p>
        </w:tc>
        <w:tc>
          <w:tcPr>
            <w:tcW w:w="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Less: Noncurrent prepaid expenses and other assets</w:t>
            </w:r>
          </w:p>
        </w:tc>
        <w:tc>
          <w:tcPr>
            <w:tcW w:w="80" w:type="dxa"/>
            <w:vAlign w:val="bottom"/>
          </w:tcPr>
          <w:p>
            <w:pPr>
              <w:spacing w:after="0"/>
              <w:rPr>
                <w:sz w:val="20"/>
                <w:szCs w:val="20"/>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prepaid expenses and other assets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6. Property and Equipment</w:t>
            </w: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color w:val="auto"/>
              </w:rPr>
              <w:t>Property and Equipment consist of the following (in thousands):</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September 30, 2023</w:t>
            </w:r>
          </w:p>
        </w:tc>
        <w:tc>
          <w:tcPr>
            <w:tcW w:w="100" w:type="dxa"/>
            <w:vAlign w:val="bottom"/>
          </w:tcPr>
          <w:p>
            <w:pPr>
              <w:spacing w:after="0"/>
              <w:rPr>
                <w:sz w:val="24"/>
                <w:szCs w:val="24"/>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December 31, 2022</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8"/>
                <w:szCs w:val="18"/>
                <w:color w:val="auto"/>
              </w:rPr>
            </w:pP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7,182</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7,289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1"/>
                <w:szCs w:val="21"/>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property and equipment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had less than $0.1 million and $1.2 million of property and equipment additions during the nine months ended September 30, 2023, and the year ended December 31, 2022, respectively, associated with the buildout of the new leased space in St. Louis, Missouri.</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7. Leases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March 1, 2021, the Company entered into an office lease agreement (the “Lease”) with Globe Building Company (the “Landlord”), under which the Company leases executive office space and manufacturing facilities of approximately 43,100 square feet of rentable space located at 710 N. Tucker Boulevard, St. Louis, Missouri (the “Premises”) that serves as the Company’s principal executive and administrative offices and manufacturing facility. Lease payments commenced on January 1, 2022, and the lease has a term of ten years, with two renewal options of five years each. The minimum annual rent under the terms of the Lease ranges from approximately $0.8 million in 2022 to $1.0 million in 2031.</w:t>
      </w:r>
    </w:p>
    <w:p>
      <w:pPr>
        <w:spacing w:after="0" w:line="1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2023, the weighted average discount rate for operating leases was 9% and the weighted average remaining lease term for operating lease term is 8.24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lease costs and other lease information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3160" w:type="dxa"/>
            <w:vAlign w:val="bottom"/>
            <w:gridSpan w:val="7"/>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88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36"/>
        </w:trPr>
        <w:tc>
          <w:tcPr>
            <w:tcW w:w="5200" w:type="dxa"/>
            <w:vAlign w:val="bottom"/>
            <w:tcBorders>
              <w:bottom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79"/>
              </w:rPr>
              <w:t>227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30"/>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lease cost</w:t>
            </w: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231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79"/>
              </w:rPr>
              <w:t>231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paid within operating cash flows</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255</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232</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Variable lease costs consist primarily of taxes, insurance, and common area or other maintenance costs for our leased facilities and equipment which are paid based on actual costs incurred.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firstLine="324"/>
        <w:spacing w:after="0" w:line="277" w:lineRule="auto"/>
        <w:rPr>
          <w:sz w:val="20"/>
          <w:szCs w:val="20"/>
          <w:color w:val="auto"/>
        </w:rPr>
      </w:pPr>
      <w:r>
        <w:rPr>
          <w:rFonts w:ascii="Arial" w:cs="Arial" w:eastAsia="Arial" w:hAnsi="Arial"/>
          <w:sz w:val="18"/>
          <w:szCs w:val="18"/>
          <w:color w:val="auto"/>
        </w:rPr>
        <w:t>Future minimum payments for operating leases with initial or remaining terms of one year or more as of September 30, 2023,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80" w:type="dxa"/>
            <w:vAlign w:val="bottom"/>
            <w:gridSpan w:val="8"/>
          </w:tcPr>
          <w:p>
            <w:pPr>
              <w:jc w:val="right"/>
              <w:ind w:right="820"/>
              <w:spacing w:after="0"/>
              <w:rPr>
                <w:sz w:val="20"/>
                <w:szCs w:val="20"/>
                <w:color w:val="auto"/>
              </w:rPr>
            </w:pPr>
            <w:r>
              <w:rPr>
                <w:rFonts w:ascii="Arial" w:cs="Arial" w:eastAsia="Arial" w:hAnsi="Arial"/>
                <w:sz w:val="18"/>
                <w:szCs w:val="18"/>
                <w:b w:val="1"/>
                <w:bCs w:val="1"/>
                <w:color w:val="auto"/>
                <w:w w:val="97"/>
              </w:rPr>
              <w:t>September 30, 2023</w:t>
            </w:r>
          </w:p>
        </w:tc>
        <w:tc>
          <w:tcPr>
            <w:tcW w:w="0" w:type="dxa"/>
            <w:vAlign w:val="bottom"/>
          </w:tcPr>
          <w:p>
            <w:pPr>
              <w:spacing w:after="0"/>
              <w:rPr>
                <w:sz w:val="1"/>
                <w:szCs w:val="1"/>
                <w:color w:val="auto"/>
              </w:rPr>
            </w:pPr>
          </w:p>
        </w:tc>
      </w:tr>
      <w:tr>
        <w:trPr>
          <w:trHeight w:val="216"/>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2024</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2026</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r>
              <w:rPr>
                <w:rFonts w:ascii="Arial" w:cs="Arial" w:eastAsia="Arial" w:hAnsi="Arial"/>
                <w:sz w:val="18"/>
                <w:szCs w:val="18"/>
                <w:color w:val="auto"/>
              </w:rPr>
              <w:t>2028 and thereafter</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7,958</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00" w:type="dxa"/>
            <w:vAlign w:val="bottom"/>
          </w:tcPr>
          <w:p>
            <w:pPr>
              <w:ind w:left="420"/>
              <w:spacing w:after="0"/>
              <w:rPr>
                <w:sz w:val="20"/>
                <w:szCs w:val="20"/>
                <w:color w:val="auto"/>
              </w:rPr>
            </w:pPr>
            <w:r>
              <w:rPr>
                <w:rFonts w:ascii="Arial" w:cs="Arial" w:eastAsia="Arial" w:hAnsi="Arial"/>
                <w:sz w:val="18"/>
                <w:szCs w:val="18"/>
                <w:color w:val="auto"/>
              </w:rPr>
              <w:t>Less: Interest</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(2,372)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8. Accrued Liabilities</w:t>
            </w: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tcPr>
          <w:p>
            <w:pPr>
              <w:ind w:left="340"/>
              <w:spacing w:after="0"/>
              <w:rPr>
                <w:sz w:val="20"/>
                <w:szCs w:val="20"/>
                <w:color w:val="auto"/>
              </w:rPr>
            </w:pPr>
            <w:r>
              <w:rPr>
                <w:rFonts w:ascii="Arial" w:cs="Arial" w:eastAsia="Arial" w:hAnsi="Arial"/>
                <w:sz w:val="18"/>
                <w:szCs w:val="18"/>
                <w:color w:val="auto"/>
              </w:rPr>
              <w:t>Accrued liabilities consist of the following (in thousands):</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620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bonus, and benefits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Accrued licenses and maintenance fees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warranties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obligation</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1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00" w:type="dxa"/>
            <w:vAlign w:val="bottom"/>
          </w:tcPr>
          <w:p>
            <w:pPr>
              <w:spacing w:after="0"/>
              <w:rPr>
                <w:sz w:val="20"/>
                <w:szCs w:val="20"/>
                <w:color w:val="auto"/>
              </w:rPr>
            </w:pPr>
            <w:r>
              <w:rPr>
                <w:rFonts w:ascii="Arial" w:cs="Arial" w:eastAsia="Arial" w:hAnsi="Arial"/>
                <w:sz w:val="18"/>
                <w:szCs w:val="18"/>
                <w:color w:val="auto"/>
              </w:rPr>
              <w:t>Less: Long term accrued liabilities</w:t>
            </w: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accrued liabilities</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to conform to the 2023 presentation.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9. Convertible Preferred Stock and Stockholders’ Equity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holders of common stock are entitled to one vote for each share held and to receive dividends when and as declared by the Board of Directors out of funds legally available for dividends, subject to the prior rights or preferences applicable to any preferred stock as may then be outstanding. No dividends have been declared or paid as of September 30, 2023, and the Company does not presently intend to pay any cash dividends in the foreseeable future.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August 7, 2019, the Company entered into a Securities Purchase Agreement with certain institutional and other accredited investors, whereby it, as part of a private placement, agreed to issue and sell to the investors 5,610,121 shares of the Company’s Series B Convertible Preferred Stock (the “Series B Preferred Stock”), $0.001 par value per share which are convertible into shares of the Company’s common stock, at a price of $2.05 per share. In April 2023, all of the outstanding shares of Series B Convertible Preferred Stock were converted into shares of common stock on a one-for-one basis by the holder. The Series B Preferred Stock, which was a common stock equivalent but non-voting and with a blocker on conversion if the holder exceeded a specified threshold of voting security ownership, was convertible into common stock on a one-for-one basis, subject to adjustment for events such as stock splits, combinations and the like as provided in the Purchase Agreement. The Series B Preferred Stock was reported in the stockholders’ equity section of the Company’s balance sheet.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Convertible Preferred Stock and Warrants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September 2016, the Company issued (i) 24,000 shares of Series A Convertible Preferred Stock (the “Series A Preferred Stock”), par value $0.001 per share, with a stated value of $1,000 per share, which are convertible into shares of the Company’s common stock at an initial conversion rate of $0.65 per share, subject to adjustment for events such as stock splits, combinations and the like as provided in the certificate of designations covering such Series A Preferred Stock, and (ii) (the SPA Warrants) to purchase an aggregate of 36,923,078 shares of common stock. The shares of Series A Preferred Stock are entitled to vote on an as-converted basis with the common stock, subject to specified beneficial ownership issuance limitations. The Series A Preferred Stock bear dividends at a rate of six percent (6%) per annum, which are cumulative and accrue daily from the date of issuance on the $1,000 stated value. Such dividends will not be paid in cash except in connection with any liquidation, dissolution or winding up of the Company or any redemption of the Series A Preferred Stock. Each holder of convertible preferred shares has the right to require us to redeem such holder’s shares of Series A Preferred Stock upon the occurrence of specified events, which include certain business combinations, the sale of all or substantially all of the Company’s assets, or the sale of more than 50% of the outstanding shares of the Company’s common stock. In addition, the Company has the right to redeem the Series A Preferred Stock in the event of a defined change of control. The Series A Preferred Stock ranks senior to our common stock as to distributions and payments upon the liquidation, dissolution, and winding up of the Company. Since the Series A Preferred Stock are subject to conditions for redemption that are outside the Company’s control, the Series A Preferred Stock are presently reported in the mezzanine section of the balance sheet.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808" w:gutter="0" w:footer="0" w:header="0"/>
        </w:sectPr>
      </w:pPr>
    </w:p>
    <w:bookmarkStart w:id="17" w:name="page18"/>
    <w:bookmarkEnd w:id="17"/>
    <w:p>
      <w:pPr>
        <w:ind w:left="340"/>
        <w:spacing w:after="0"/>
        <w:rPr>
          <w:sz w:val="20"/>
          <w:szCs w:val="20"/>
          <w:color w:val="auto"/>
        </w:rPr>
      </w:pPr>
      <w:r>
        <w:rPr>
          <w:rFonts w:ascii="Arial" w:cs="Arial" w:eastAsia="Arial" w:hAnsi="Arial"/>
          <w:sz w:val="18"/>
          <w:szCs w:val="18"/>
          <w:b w:val="1"/>
          <w:bCs w:val="1"/>
          <w:i w:val="1"/>
          <w:iCs w:val="1"/>
          <w:color w:val="auto"/>
        </w:rPr>
        <w:t>2021 CEO Performance Award Unit Grant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23, 2021, the Company`s Board of Directors, upon recommendation of the Compensation Committee, approved the grant of the CEO Performance Award to the Company’s Chief Executive Officer. The CEO Performance award is a 10-year performance award of up to 13,000,000 shares, tied to the achievement of market capitalization milestones and subject to minimum service requirements.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detailed in the table below, the CEO Performance Award consists of ten vesting tranches. The first market capitalization milestone is $1.0 billion, and each of the remaining nine market capitalization milestones are in additional $500 million increments, up to $5.5 billion.</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Market Capitalization</w:t>
            </w:r>
          </w:p>
        </w:tc>
      </w:tr>
      <w:tr>
        <w:trPr>
          <w:trHeight w:val="278"/>
        </w:trPr>
        <w:tc>
          <w:tcPr>
            <w:tcW w:w="4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Tranche #</w:t>
            </w:r>
          </w:p>
        </w:tc>
        <w:tc>
          <w:tcPr>
            <w:tcW w:w="2780" w:type="dxa"/>
            <w:vAlign w:val="bottom"/>
            <w:gridSpan w:val="2"/>
          </w:tcPr>
          <w:p>
            <w:pPr>
              <w:ind w:left="200"/>
              <w:spacing w:after="0"/>
              <w:rPr>
                <w:sz w:val="20"/>
                <w:szCs w:val="20"/>
                <w:color w:val="auto"/>
              </w:rPr>
            </w:pPr>
            <w:r>
              <w:rPr>
                <w:rFonts w:ascii="Arial" w:cs="Arial" w:eastAsia="Arial" w:hAnsi="Arial"/>
                <w:sz w:val="18"/>
                <w:szCs w:val="18"/>
                <w:b w:val="1"/>
                <w:bCs w:val="1"/>
                <w:color w:val="auto"/>
              </w:rPr>
              <w:t>No. of Shares Subject to PSU</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2"/>
          </w:tcPr>
          <w:p>
            <w:pPr>
              <w:jc w:val="center"/>
              <w:ind w:right="380"/>
              <w:spacing w:after="0" w:line="271" w:lineRule="exact"/>
              <w:rPr>
                <w:sz w:val="20"/>
                <w:szCs w:val="20"/>
                <w:color w:val="auto"/>
              </w:rPr>
            </w:pPr>
            <w:r>
              <w:rPr>
                <w:rFonts w:ascii="Arial" w:cs="Arial" w:eastAsia="Arial" w:hAnsi="Arial"/>
                <w:sz w:val="18"/>
                <w:szCs w:val="18"/>
                <w:b w:val="1"/>
                <w:bCs w:val="1"/>
                <w:color w:val="auto"/>
                <w:w w:val="83"/>
              </w:rPr>
              <w:t>Milestones</w:t>
            </w:r>
            <w:r>
              <w:rPr>
                <w:rFonts w:ascii="Arial" w:cs="Arial" w:eastAsia="Arial" w:hAnsi="Arial"/>
                <w:sz w:val="29"/>
                <w:szCs w:val="29"/>
                <w:b w:val="1"/>
                <w:bCs w:val="1"/>
                <w:color w:val="auto"/>
                <w:w w:val="83"/>
                <w:vertAlign w:val="superscript"/>
              </w:rPr>
              <w:t>(1)</w:t>
            </w:r>
          </w:p>
        </w:tc>
      </w:tr>
      <w:tr>
        <w:trPr>
          <w:trHeight w:val="216"/>
        </w:trPr>
        <w:tc>
          <w:tcPr>
            <w:tcW w:w="4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8"/>
                <w:szCs w:val="18"/>
                <w:color w:val="auto"/>
              </w:rPr>
            </w:pP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1,500,000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1,500,000,000</w:t>
            </w:r>
          </w:p>
        </w:tc>
      </w:tr>
      <w:tr>
        <w:trPr>
          <w:trHeight w:val="216"/>
        </w:trPr>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2,000,000,000</w:t>
            </w:r>
          </w:p>
        </w:tc>
      </w:tr>
      <w:tr>
        <w:trPr>
          <w:trHeight w:val="216"/>
        </w:trPr>
        <w:tc>
          <w:tcPr>
            <w:tcW w:w="42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2,500,000,000</w:t>
            </w:r>
          </w:p>
        </w:tc>
      </w:tr>
      <w:tr>
        <w:trPr>
          <w:trHeight w:val="216"/>
        </w:trPr>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3,000,000,000</w:t>
            </w:r>
          </w:p>
        </w:tc>
      </w:tr>
      <w:tr>
        <w:trPr>
          <w:trHeight w:val="216"/>
        </w:trPr>
        <w:tc>
          <w:tcPr>
            <w:tcW w:w="42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20" w:type="dxa"/>
            <w:vAlign w:val="bottom"/>
          </w:tcPr>
          <w:p>
            <w:pPr>
              <w:spacing w:after="0"/>
              <w:rPr>
                <w:sz w:val="18"/>
                <w:szCs w:val="18"/>
                <w:color w:val="auto"/>
              </w:rPr>
            </w:pP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3,500,000,000</w:t>
            </w:r>
          </w:p>
        </w:tc>
      </w:tr>
      <w:tr>
        <w:trPr>
          <w:trHeight w:val="216"/>
        </w:trPr>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4,000,000,000</w:t>
            </w:r>
          </w:p>
        </w:tc>
      </w:tr>
      <w:tr>
        <w:trPr>
          <w:trHeight w:val="216"/>
        </w:trPr>
        <w:tc>
          <w:tcPr>
            <w:tcW w:w="424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220" w:type="dxa"/>
            <w:vAlign w:val="bottom"/>
          </w:tcPr>
          <w:p>
            <w:pPr>
              <w:spacing w:after="0"/>
              <w:rPr>
                <w:sz w:val="18"/>
                <w:szCs w:val="18"/>
                <w:color w:val="auto"/>
              </w:rPr>
            </w:pP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4,500,000,000</w:t>
            </w:r>
          </w:p>
        </w:tc>
      </w:tr>
      <w:tr>
        <w:trPr>
          <w:trHeight w:val="216"/>
        </w:trPr>
        <w:tc>
          <w:tcPr>
            <w:tcW w:w="4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22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5,000,000,000</w:t>
            </w:r>
          </w:p>
        </w:tc>
      </w:tr>
      <w:tr>
        <w:trPr>
          <w:trHeight w:val="216"/>
        </w:trPr>
        <w:tc>
          <w:tcPr>
            <w:tcW w:w="42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8"/>
                <w:szCs w:val="18"/>
                <w:color w:val="auto"/>
              </w:rPr>
            </w:pP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0"/>
              <w:spacing w:after="0"/>
              <w:rPr>
                <w:sz w:val="20"/>
                <w:szCs w:val="20"/>
                <w:color w:val="auto"/>
              </w:rPr>
            </w:pPr>
            <w:r>
              <w:rPr>
                <w:rFonts w:ascii="Arial" w:cs="Arial" w:eastAsia="Arial" w:hAnsi="Arial"/>
                <w:sz w:val="18"/>
                <w:szCs w:val="18"/>
                <w:color w:val="auto"/>
              </w:rPr>
              <w:t>5,500,000,000</w:t>
            </w:r>
          </w:p>
        </w:tc>
      </w:tr>
      <w:tr>
        <w:trPr>
          <w:trHeight w:val="216"/>
        </w:trPr>
        <w:tc>
          <w:tcPr>
            <w:tcW w:w="4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9"/>
              </w:rPr>
              <w:t>Total:</w:t>
            </w: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13,000,000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Each tranche represents a portion of the PSUs covering the number of shares outlined in the table above. Each tranche vests upon (i) satisfaction of the market capitalization milestones and (ii) continued employment as CEO of the Company from the grant date through December 31, 2030. Absent an earlier termination, the PSUs will expire on December 31, 2030. If our CEO ceases employment as CEO of the Company for any reason including death, disability, termination for cause or without cause (as defined in the award agreement), or if he voluntary terminates after service as CEO for at least five years, the remaining service period will be waived and he will retain any PSUs that have vested through the date of termination.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received Shareholder approval at its annual meeting on May 20, 2021 for shares to be issued under the award.</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market capitalization requirement is considered a market condition under FASB Accounting Standards Codification Topic 718 “Compensation – Stock Compensation” and is estimated on the grant date using Monte Carlo simulations. Recognition of stock-based compensation expense of all the tranches commenced on February 23, 2021, the date of grant, as the probability of meeting the ten market capitalization milestones is not considered in determining the timing of expense recognition. The expense will be recognized on an accelerated basis through 2030. Key assumptions for estimating the performance-based awards fair value at the date of grant included share price on grant date, volatility of the Company’s common stock price, risk free interest rate, and grant term.</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stock-based compensation recorded as operating expense for the CEO Performance Award was $5.3 million for the nine months ended September 30, 2023, and 2022. As of September 30, 2023, and 2022, the Company had approximately $38.8 million and $45.9 million, respectively, of total unrecognized stock-based compensation expense remaining under the CEO Performance Award assuming the grantee’s continued employment as CEO of the Company, or in a similar capacity, through 2030. As of September 30, 2023, none of the performance milestones established by the 2021 CEO Incentive Program have been achieved, and no awards have been earned.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Award Plans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2022, the Compensation Committee of the Board of Directors adopted the 2022 Stock Incentive Plan (the “Plan”) which was subsequently approved by the Company’s shareholders. This plan replaced the 2012 Stock Incentive Plan which expired on May 19, 2022. The 2022 Stock Incentive Plan allows for the grant of incentive stock options, non-qualified stock options, stock appreciation rights, restricted shares and restricted share units to employees, directors, and third-party consultants.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2023, the Company had 2,645,914 remaining shares of the Company’s common stock to provide for current and future grants under its various equity plans.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September 30, 2023, the total compensation cost related to options, stock appreciation rights, and non-vested stock granted to employees and non-employees under the Company’s stock award plans but not yet recognized was approximately $4.3 million, excluding compensation not yet recognized related to the CEO Performance Award discussed above. This cost will be amortized over a period of up to four years over the underlying estimated service periods and will be adjusted for subsequent changes in actual forfeitures and anticipated vesting periods.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A summary of the option and stock appreciation rights activity for the nine-month period ended September 30,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16"/>
        </w:trPr>
        <w:tc>
          <w:tcPr>
            <w:tcW w:w="6080" w:type="dxa"/>
            <w:vAlign w:val="bottom"/>
          </w:tcPr>
          <w:p>
            <w:pPr>
              <w:spacing w:after="0"/>
              <w:rPr>
                <w:sz w:val="18"/>
                <w:szCs w:val="18"/>
                <w:color w:val="auto"/>
              </w:rPr>
            </w:pPr>
          </w:p>
        </w:tc>
        <w:tc>
          <w:tcPr>
            <w:tcW w:w="1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Number of</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Range of Exercise</w:t>
            </w:r>
          </w:p>
        </w:tc>
        <w:tc>
          <w:tcPr>
            <w:tcW w:w="16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Exercise Price per</w:t>
            </w:r>
          </w:p>
        </w:tc>
      </w:tr>
      <w:tr>
        <w:trPr>
          <w:trHeight w:val="241"/>
        </w:trPr>
        <w:tc>
          <w:tcPr>
            <w:tcW w:w="6080" w:type="dxa"/>
            <w:vAlign w:val="bottom"/>
          </w:tcPr>
          <w:p>
            <w:pPr>
              <w:spacing w:after="0"/>
              <w:rPr>
                <w:sz w:val="20"/>
                <w:szCs w:val="20"/>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Options/SARs</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Price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3,208,065</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$0.74 - $9.87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718,000</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$1.51- $2.57</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(30,188)</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$0.74 - $2.03</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(126,202)</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$0.82 - $9.20</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r>
      <w:tr>
        <w:trPr>
          <w:trHeight w:val="23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2023</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3,769,675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$0.74 - $9.87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restricted stock unit activity for the nine-month period ended September 30, 2023,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6"/>
              </w:rPr>
              <w:t>Weighted Average</w:t>
            </w:r>
          </w:p>
        </w:tc>
      </w:tr>
      <w:tr>
        <w:trPr>
          <w:trHeight w:val="216"/>
        </w:trPr>
        <w:tc>
          <w:tcPr>
            <w:tcW w:w="788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Restricted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Grant Date Fair</w:t>
            </w:r>
          </w:p>
        </w:tc>
      </w:tr>
      <w:tr>
        <w:trPr>
          <w:trHeight w:val="241"/>
        </w:trPr>
        <w:tc>
          <w:tcPr>
            <w:tcW w:w="7880" w:type="dxa"/>
            <w:vAlign w:val="bottom"/>
          </w:tcPr>
          <w:p>
            <w:pPr>
              <w:spacing w:after="0"/>
              <w:rPr>
                <w:sz w:val="20"/>
                <w:szCs w:val="20"/>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Units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Value per Unit</w:t>
            </w:r>
          </w:p>
        </w:tc>
      </w:tr>
      <w:tr>
        <w:trPr>
          <w:trHeight w:val="216"/>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1,208,739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610,038</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r>
      <w:tr>
        <w:trPr>
          <w:trHeight w:val="24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(316,646)</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21"/>
                <w:szCs w:val="21"/>
                <w:color w:val="auto"/>
              </w:rPr>
            </w:pPr>
          </w:p>
        </w:tc>
      </w:tr>
      <w:tr>
        <w:trPr>
          <w:trHeight w:val="217"/>
        </w:trPr>
        <w:tc>
          <w:tcPr>
            <w:tcW w:w="7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September 30, 2023</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1,502,131</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10. Product Warranty Provisions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standard policy is to warrant all capital systems against defects in material or workmanship for one year following installation. The Company’s estimate of costs to service the warranty obligations is based on historical experience and current product performance trends. A regular review of warranty obligations is performed to determine the adequacy of the reserve and adjustments are made to the estimated warranty liability as appropriate.</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warranty, which is included in other accrued liabilities, consists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beginning of the fiscal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6"/>
              </w:rPr>
              <w:t>163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Accrual adjustment for product warranty</w:t>
            </w:r>
          </w:p>
        </w:tc>
        <w:tc>
          <w:tcPr>
            <w:tcW w:w="140" w:type="dxa"/>
            <w:vAlign w:val="bottom"/>
          </w:tcPr>
          <w:p>
            <w:pPr>
              <w:spacing w:after="0"/>
              <w:rPr>
                <w:sz w:val="18"/>
                <w:szCs w:val="18"/>
                <w:color w:val="auto"/>
              </w:rPr>
            </w:pPr>
          </w:p>
        </w:tc>
        <w:tc>
          <w:tcPr>
            <w:tcW w:w="1660" w:type="dxa"/>
            <w:vAlign w:val="bottom"/>
            <w:gridSpan w:val="2"/>
          </w:tcPr>
          <w:p>
            <w:pPr>
              <w:jc w:val="center"/>
              <w:ind w:left="650"/>
              <w:spacing w:after="0"/>
              <w:rPr>
                <w:sz w:val="20"/>
                <w:szCs w:val="20"/>
                <w:color w:val="auto"/>
              </w:rPr>
            </w:pPr>
            <w:r>
              <w:rPr>
                <w:rFonts w:ascii="Arial" w:cs="Arial" w:eastAsia="Arial" w:hAnsi="Arial"/>
                <w:sz w:val="18"/>
                <w:szCs w:val="18"/>
                <w:color w:val="auto"/>
                <w:w w:val="93"/>
              </w:rPr>
              <w:t>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r>
      <w:tr>
        <w:trPr>
          <w:trHeight w:val="25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14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95"/>
              </w:rPr>
              <w:t>(191)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7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Warranty accrual, end of the fiscal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center"/>
              <w:ind w:left="990"/>
              <w:spacing w:after="0"/>
              <w:rPr>
                <w:sz w:val="20"/>
                <w:szCs w:val="20"/>
                <w:color w:val="auto"/>
              </w:rPr>
            </w:pPr>
            <w:r>
              <w:rPr>
                <w:rFonts w:ascii="Arial" w:cs="Arial" w:eastAsia="Arial" w:hAnsi="Arial"/>
                <w:sz w:val="18"/>
                <w:szCs w:val="18"/>
                <w:color w:val="auto"/>
                <w:w w:val="79"/>
              </w:rPr>
              <w:t>111</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at times becomes a party to claims in the ordinary course of business. Management believes that the ultimate resolution of pending or threatened proceedings will not have a material effect on the financial position, results of operations or liquidity of the Company.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2021, the Company entered into a letter of credit pursuant to the Lease agreement totaling approximately $1.8 million to be delivered in four equal installments of which the first was delivered in April 2021, the second was delivered in July 2021, the third was delivered in October 2021, and the fourth was delivered in January 2022. The amount available under this letter of credit automatically reduces by one fortieth at the end of each month during the lease term.</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12. Subsequent Events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notes thereto included in this Quarterly Report on Form 10-Q and in our Annual Report on Form 10-K for the year ended December 31, 2022. Operating results are not necessarily indicative of results that may occur in future periods.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This report includes various forward-looking statements that are subject to risks and uncertainties, many of which are beyond our control. Our actual results could differ materially from those anticipated in these forward-looking statements as a result of various factors, including those set forth in “Part II</w:t>
      </w:r>
    </w:p>
    <w:p>
      <w:pPr>
        <w:jc w:val="both"/>
        <w:ind w:firstLine="8"/>
        <w:spacing w:after="0" w:line="268" w:lineRule="auto"/>
        <w:tabs>
          <w:tab w:leader="none" w:pos="11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Item 1A. Risk Factors” included in this Quarterly Report on Form 10-Q and in Part I, Item 1A, “Risk Factors,” included in our Annual Report on Form 10-K for the year ended December 31, 2022. Forward-looking statements discuss matters that are not historical facts. Forward-looking statements include, but are not limited to, discussions regarding our operating strategy, sales and marketing strategy, regulatory strategy, industry, economic conditions, financial condition, liquidity, capital resources, results of operations, and the impact of the recent coronavirus (“COVID-19”) pandemic and our response to it. Such statements include, but are not limited to, statements preceded by, followed by, or that otherwise include the words “believe”, “expects”, “anticipates”, “intends”, “estimates”, “projects”, “can”, “could”, “may”, “would”, or similar expressions. For those statements, we claim the protection of the safe harbor for forward-looking statements contained in the Private Securities Litigation Reform Act of 1995. You should not unduly rely on these forward-looking statements, which speak only as of the date on which they are made. They give our expectations regarding the future but are not guarantees. We undertake no obligation to update publicly or revise any forward-looking statements, whether as a result of new information, future events or otherwise, unless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is substantial real-world evidence and clinical literature for Robotic Magnetic Navigation in electrophysiology. Hundreds of electrophysiologists at over one hundred hospitals globally have treated over 100,000 arrhythmia patients with our robotic technology. Clinical use of our technology has been documented in over 400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primary products include the </w:t>
      </w:r>
      <w:r>
        <w:rPr>
          <w:rFonts w:ascii="Arial" w:cs="Arial" w:eastAsia="Arial" w:hAnsi="Arial"/>
          <w:sz w:val="18"/>
          <w:szCs w:val="18"/>
          <w:i w:val="1"/>
          <w:iCs w:val="1"/>
          <w:color w:val="auto"/>
        </w:rPr>
        <w:t>Genesis RMN</w:t>
      </w:r>
      <w:r>
        <w:rPr>
          <w:rFonts w:ascii="Arial" w:cs="Arial" w:eastAsia="Arial" w:hAnsi="Arial"/>
          <w:sz w:val="18"/>
          <w:szCs w:val="18"/>
          <w:color w:val="auto"/>
        </w:rPr>
        <w:t xml:space="preserve"> System, the </w:t>
      </w:r>
      <w:r>
        <w:rPr>
          <w:rFonts w:ascii="Arial" w:cs="Arial" w:eastAsia="Arial" w:hAnsi="Arial"/>
          <w:sz w:val="18"/>
          <w:szCs w:val="18"/>
          <w:i w:val="1"/>
          <w:iCs w:val="1"/>
          <w:color w:val="auto"/>
        </w:rPr>
        <w:t>Odyssey</w:t>
      </w:r>
      <w:r>
        <w:rPr>
          <w:rFonts w:ascii="Arial" w:cs="Arial" w:eastAsia="Arial" w:hAnsi="Arial"/>
          <w:sz w:val="18"/>
          <w:szCs w:val="18"/>
          <w:color w:val="auto"/>
        </w:rPr>
        <w:t xml:space="preserve"> Solution, and other related devices. We also offer our customers the Stereotaxis Imaging Model S x-ray System and other accessory devices.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Genesis RMN System</w:t>
      </w:r>
      <w:r>
        <w:rPr>
          <w:rFonts w:ascii="Arial" w:cs="Arial" w:eastAsia="Arial" w:hAnsi="Arial"/>
          <w:sz w:val="17"/>
          <w:szCs w:val="17"/>
          <w:color w:val="auto"/>
        </w:rPr>
        <w:t xml:space="preserve"> is designed to enable physicians to complete more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Odyssey Solution</w:t>
      </w:r>
      <w:r>
        <w:rPr>
          <w:rFonts w:ascii="Arial" w:cs="Arial" w:eastAsia="Arial" w:hAnsi="Arial"/>
          <w:sz w:val="18"/>
          <w:szCs w:val="18"/>
          <w:color w:val="auto"/>
        </w:rPr>
        <w:t xml:space="preserve"> consolidates lab information onto one large integrated display, enabling physicians to view and control all the key information in the operating room. This is designed to improve lab layout and procedure efficiency. The system also features a remote viewing and recording capability called </w:t>
      </w:r>
      <w:r>
        <w:rPr>
          <w:rFonts w:ascii="Arial" w:cs="Arial" w:eastAsia="Arial" w:hAnsi="Arial"/>
          <w:sz w:val="18"/>
          <w:szCs w:val="18"/>
          <w:i w:val="1"/>
          <w:iCs w:val="1"/>
          <w:color w:val="auto"/>
        </w:rPr>
        <w:t>Odyssey Cinema,</w:t>
      </w:r>
      <w:r>
        <w:rPr>
          <w:rFonts w:ascii="Arial" w:cs="Arial" w:eastAsia="Arial" w:hAnsi="Arial"/>
          <w:sz w:val="18"/>
          <w:szCs w:val="18"/>
          <w:color w:val="auto"/>
        </w:rPr>
        <w:t xml:space="preserve"> which is an innovative solution that delivers synchronized content for optimized workflow, advanced care, and improved productivity. This tool includes an archiving capability that allows clinicians to store and replay entire procedures or segments of procedures. This information can be accessed from locations throughout the hospital local area network and over the global Odyssey Network providing physicians with a tool for clinical collaboration, remote consultation, and training.</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Stereotaxis Imaging Model S provides an integrated complete solution for a robotic interventional operating room. It is a single-plane, full-power x-ray system and includes the c-arm, powered table, motorized boom, and large high-definition monitors. Stereotaxis Imaging Model S incorporates modern fluoroscopy technology to support high quality imaging while minimizing radiation exposure for patients and physicians. The combination of RMN Systems with Stereotaxis Imaging Model S is designed to reduce the cost of acquisition, the ongoing cost of ownership, and the complexity of installation of a robotic electrophysiology practice.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promote our full suite of products in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We have received regulatory clearances and registration necessary for us to market the </w:t>
      </w:r>
      <w:r>
        <w:rPr>
          <w:rFonts w:ascii="Arial" w:cs="Arial" w:eastAsia="Arial" w:hAnsi="Arial"/>
          <w:sz w:val="16"/>
          <w:szCs w:val="16"/>
          <w:i w:val="1"/>
          <w:iCs w:val="1"/>
          <w:color w:val="auto"/>
        </w:rPr>
        <w:t>Genesis RMN</w:t>
      </w:r>
      <w:r>
        <w:rPr>
          <w:rFonts w:ascii="Arial" w:cs="Arial" w:eastAsia="Arial" w:hAnsi="Arial"/>
          <w:sz w:val="16"/>
          <w:szCs w:val="16"/>
          <w:color w:val="auto"/>
        </w:rPr>
        <w:t xml:space="preserve"> System in the U.S. and Europe, and we are in the process of obtaining necessary registrations for extending our markets in other countries. Our prior generation robotic magnetic navigation system, the </w:t>
      </w:r>
      <w:r>
        <w:rPr>
          <w:rFonts w:ascii="Arial" w:cs="Arial" w:eastAsia="Arial" w:hAnsi="Arial"/>
          <w:sz w:val="16"/>
          <w:szCs w:val="16"/>
          <w:i w:val="1"/>
          <w:iCs w:val="1"/>
          <w:color w:val="auto"/>
        </w:rPr>
        <w:t xml:space="preserve">Niobe </w:t>
      </w:r>
      <w:r>
        <w:rPr>
          <w:rFonts w:ascii="Arial" w:cs="Arial" w:eastAsia="Arial" w:hAnsi="Arial"/>
          <w:sz w:val="16"/>
          <w:szCs w:val="16"/>
          <w:color w:val="auto"/>
        </w:rPr>
        <w:t>System, the</w:t>
      </w:r>
      <w:r>
        <w:rPr>
          <w:rFonts w:ascii="Arial" w:cs="Arial" w:eastAsia="Arial" w:hAnsi="Arial"/>
          <w:sz w:val="16"/>
          <w:szCs w:val="16"/>
          <w:i w:val="1"/>
          <w:iCs w:val="1"/>
          <w:color w:val="auto"/>
        </w:rPr>
        <w:t xml:space="preserve"> Odyssey </w:t>
      </w:r>
      <w:r>
        <w:rPr>
          <w:rFonts w:ascii="Arial" w:cs="Arial" w:eastAsia="Arial" w:hAnsi="Arial"/>
          <w:sz w:val="16"/>
          <w:szCs w:val="16"/>
          <w:color w:val="auto"/>
        </w:rPr>
        <w:t>Solution,</w:t>
      </w:r>
      <w:r>
        <w:rPr>
          <w:rFonts w:ascii="Arial" w:cs="Arial" w:eastAsia="Arial" w:hAnsi="Arial"/>
          <w:sz w:val="16"/>
          <w:szCs w:val="16"/>
          <w:i w:val="1"/>
          <w:iCs w:val="1"/>
          <w:color w:val="auto"/>
        </w:rPr>
        <w:t xml:space="preserve"> Cardiodrive</w:t>
      </w:r>
      <w:r>
        <w:rPr>
          <w:rFonts w:ascii="Arial" w:cs="Arial" w:eastAsia="Arial" w:hAnsi="Arial"/>
          <w:sz w:val="16"/>
          <w:szCs w:val="16"/>
          <w:color w:val="auto"/>
        </w:rPr>
        <w:t>, and various disposable interventional devices have received regulatory clearance in the U.S., Europe,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Canada, China, Japan and various other countries. We have received the regulatory clearance, licensing and/or CE Mark approvals that allow us to market the </w:t>
      </w:r>
      <w:r>
        <w:rPr>
          <w:rFonts w:ascii="Arial" w:cs="Arial" w:eastAsia="Arial" w:hAnsi="Arial"/>
          <w:sz w:val="16"/>
          <w:szCs w:val="16"/>
          <w:i w:val="1"/>
          <w:iCs w:val="1"/>
          <w:color w:val="auto"/>
        </w:rPr>
        <w:t>Vdrive</w:t>
      </w:r>
      <w:r>
        <w:rPr>
          <w:rFonts w:ascii="Arial" w:cs="Arial" w:eastAsia="Arial" w:hAnsi="Arial"/>
          <w:sz w:val="16"/>
          <w:szCs w:val="16"/>
          <w:color w:val="auto"/>
        </w:rPr>
        <w:t xml:space="preserve"> and </w:t>
      </w:r>
      <w:r>
        <w:rPr>
          <w:rFonts w:ascii="Arial" w:cs="Arial" w:eastAsia="Arial" w:hAnsi="Arial"/>
          <w:sz w:val="16"/>
          <w:szCs w:val="16"/>
          <w:i w:val="1"/>
          <w:iCs w:val="1"/>
          <w:color w:val="auto"/>
        </w:rPr>
        <w:t>Vdrive Duo</w:t>
      </w:r>
      <w:r>
        <w:rPr>
          <w:rFonts w:ascii="Arial" w:cs="Arial" w:eastAsia="Arial" w:hAnsi="Arial"/>
          <w:sz w:val="16"/>
          <w:szCs w:val="16"/>
          <w:color w:val="auto"/>
        </w:rPr>
        <w:t xml:space="preserve"> Systems with the </w:t>
      </w:r>
      <w:r>
        <w:rPr>
          <w:rFonts w:ascii="Arial" w:cs="Arial" w:eastAsia="Arial" w:hAnsi="Arial"/>
          <w:sz w:val="16"/>
          <w:szCs w:val="16"/>
          <w:i w:val="1"/>
          <w:iCs w:val="1"/>
          <w:color w:val="auto"/>
        </w:rPr>
        <w:t>V-CAS</w:t>
      </w:r>
      <w:r>
        <w:rPr>
          <w:rFonts w:ascii="Arial" w:cs="Arial" w:eastAsia="Arial" w:hAnsi="Arial"/>
          <w:sz w:val="16"/>
          <w:szCs w:val="16"/>
          <w:color w:val="auto"/>
        </w:rPr>
        <w:t xml:space="preserve">, </w:t>
      </w:r>
      <w:r>
        <w:rPr>
          <w:rFonts w:ascii="Arial" w:cs="Arial" w:eastAsia="Arial" w:hAnsi="Arial"/>
          <w:sz w:val="16"/>
          <w:szCs w:val="16"/>
          <w:i w:val="1"/>
          <w:iCs w:val="1"/>
          <w:color w:val="auto"/>
        </w:rPr>
        <w:t>V-Loop</w:t>
      </w:r>
      <w:r>
        <w:rPr>
          <w:rFonts w:ascii="Arial" w:cs="Arial" w:eastAsia="Arial" w:hAnsi="Arial"/>
          <w:sz w:val="16"/>
          <w:szCs w:val="16"/>
          <w:color w:val="auto"/>
        </w:rPr>
        <w:t xml:space="preserve"> and </w:t>
      </w:r>
      <w:r>
        <w:rPr>
          <w:rFonts w:ascii="Arial" w:cs="Arial" w:eastAsia="Arial" w:hAnsi="Arial"/>
          <w:sz w:val="16"/>
          <w:szCs w:val="16"/>
          <w:i w:val="1"/>
          <w:iCs w:val="1"/>
          <w:color w:val="auto"/>
        </w:rPr>
        <w:t>V-Sono</w:t>
      </w:r>
      <w:r>
        <w:rPr>
          <w:rFonts w:ascii="Arial" w:cs="Arial" w:eastAsia="Arial" w:hAnsi="Arial"/>
          <w:sz w:val="16"/>
          <w:szCs w:val="16"/>
          <w:color w:val="auto"/>
        </w:rPr>
        <w:t xml:space="preserve"> devices in the U.S., Canada and Europe. The Stereotaxis Imaging Model S x-ray System is CE marked and cleared by the FDA. We are pursuing regulatory approvals for the Stereotaxis MAGiC catheter, a robotically-navigated magnetic ablation catheter designed to perform minimally invasive cardiac ablation procedures, in various global geographies. Approval processes can be lengthy and uncertain, submissions may require revised or additional non-clinical and clinical data, and regulatory applications could be denied.</w:t>
      </w:r>
    </w:p>
    <w:p>
      <w:pPr>
        <w:spacing w:after="0" w:line="165" w:lineRule="exact"/>
        <w:rPr>
          <w:sz w:val="20"/>
          <w:szCs w:val="20"/>
          <w:color w:val="auto"/>
        </w:rPr>
      </w:pPr>
    </w:p>
    <w:p>
      <w:pPr>
        <w:jc w:val="both"/>
        <w:ind w:firstLine="415"/>
        <w:spacing w:after="0" w:line="342" w:lineRule="auto"/>
        <w:rPr>
          <w:sz w:val="20"/>
          <w:szCs w:val="20"/>
          <w:color w:val="auto"/>
        </w:rPr>
      </w:pPr>
      <w:r>
        <w:rPr>
          <w:rFonts w:ascii="Arial" w:cs="Arial" w:eastAsia="Arial" w:hAnsi="Arial"/>
          <w:sz w:val="16"/>
          <w:szCs w:val="16"/>
          <w:color w:val="auto"/>
        </w:rPr>
        <w:t>We have strategic relationships with technology leaders and innovators in the global interventional market. Through these strategic relationships we provide compatibility between our robotic magnetic navigation system, x-ray systems, and digital imaging and 3D catheter location sensing technology, as</w:t>
      </w:r>
    </w:p>
    <w:p>
      <w:pPr>
        <w:sectPr>
          <w:pgSz w:w="11900" w:h="16942" w:orient="portrait"/>
          <w:cols w:equalWidth="0" w:num="1">
            <w:col w:w="11240"/>
          </w:cols>
          <w:pgMar w:left="320" w:top="661" w:right="339" w:bottom="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well as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integrated systems and devices and/or equivalent alternatives. We cannot provide assurance as to the timeline of the ongoing availability of such compatible systems or our ability to obtain equivalent alternatives on competitive terms or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Future results of operations could be materially adversely impacted by macroeconomic and geopolitical factors. The Company continues to experience difficulties with periodic worldwide supply chain disruptions, including shortages and inflationary pressures, and logistics delays which make it difficult for us to source parts and ship our products. We have generally been able to conduct normal business activities albeit in a more deliberate manner than prior to the pandemic, including taking action to increase inventory levels, but we cannot guarantee that they will not be impacted more severely in the future. Our suppliers and contract manufacturers have experienced, and may continue to experience, similar difficulties. If our manufacturing operations or supply chains are materially interrupted, it may not be possible for us to timely manufacture or service our products at required levels, or at all. Changes in economic conditions and supply chain constraints could lead to higher inflation than previously experienced or expected, which could, in turn, lead to an increase in costs. We may be unable to raise the prices of our products sufficiently to keep up with the rate of inflation. A material reduction or interruption in any of our manufacturing processes or a substantial increase in costs would have a material adverse effect on our business, operating results, and financial condition.</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Many of our hospital customers, for whom the purchase of our system involves a significant capital purchase which may be part of a larger construction project at the customer site (typically the construction of a new building), may themselves be under economic pressures. Hospitals continue to experience challenges with staffing and cost pressures as supply chain constraints and inflation drive up operating costs. This may cause delays or cancellations of current purchase orders and other commitments and may exacerbate the long and variable sales and installation cycles for our robotic magnetic navigation systems. Our hospital customers have also experienced challenges in sourcing supplies, such as catheters, needed to perform procedures. Such shortages have, and may continue to, put pressure on procedures and our disposable revenue.</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disruption to the capital markets could negatively impact our ability to raise capital. If the capital markets are disrupted for an extended period of time and we need to raise additional capital, such capital may not be available on acceptable terms, or at all. Disruptions to the capital markets and other financing sources could also negatively impact our hospital customers’ ability to raise capital or otherwise obtain financing to fund their operations and capital projects. Such could result in delayed spending on current projects, a longer sales cycle for new projects where a large capital commitment is required, and decreased demand for our disposable products as well as an increased risk of customer defaults or delays in payments for our systems installation, service contracts and disposable products.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the aforementioned macroeconomic factors, the COVID-19 pandemic or similar occurrences may continue to negatively affect demand for both our systems and our disposable products. In the past, we have experienced business disruptions, including travel restrictions on us and our third-party distributors, which negatively affected our complex sales, marketing, installation, distribution and service network relating to our products and services. We also experienced reductions in demand for our disposable products as our healthcare customers (physicians and hospitals) re-prioritized the treatment of patients and diverted resources away from non-coronavirus areas, leading to the performance of fewer procedures in which our disposable products are used. Significant decreases to our capital or recurring revenues could have a material adverse effect on our business, operating results, and financial condition. While we cannot reliably estimate the ultimate duration of the impact or the severity of ongoing periodic resurgences of pandemic-related issues, we continue to anticipate periodic disruptions to our manufacturing operations, supply chains, procedures volumes, service activities, and capital system orders and placements, any of which could have a material adverse effect on our business, financial condition, results of operations, or cash flows. The impact has varied widely over time by individual geography. In 2022, procedure volumes were challenged by periodic resurgences of COVID-19, ongoing hospital staffing issues and other factors. In the first quarter of 2023, the most recent COVID-19 resurgences in China continued to negatively impact our procedure volumes in that region, but as infections and hospitalization decreased, we saw a recovery of procedure volumes.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and marketable securities. Our investments may include, at any time, a diversified portfolio of cash equivalents and short- and long-term investments in a variety of high-quality securities, including money market funds, U.S. treasury and U.S. government agency securities, corporate notes and bonds, commercial paper, non-U.S. government agency securities, and municipal notes. The Company’s exposure to any individual corporate entity is limited by policy. Deposits may exceed federally insured limits, and the Company is exposed to credit risk on deposits in the event of default by the financial institutions to the extent account balances exceed the amount insured by the Federal Deposit Insurance Corporation (FDIC). The Company is closely monitoring ongoing events involving limited liquidity, defaults, non-performance or other adverse developments that affect financial institutions or other companies in the financial services industry or the financial services industry generally, including Silicon Valley Bank. On March 10, 2023, Silicon Valley Bank (“SVB”), where the Company maintained accounts with a cash balance of less than 6% of the Company’s total cash, cash equivalents and marketable securities, was closed by the California Department of Financial Protection and Innovation and the FDIC was appointed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26, 2023, it was announced that First-Citizens Bank &amp; Trust Company would assume all of SVB’s deposits and loans as of March 27, 2023. During the periods presented, the Company has not experienced any losses on its deposits of cash, cash equivalents or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revenues and expenses, and related disclosures. We review our estimates and judgments on an on-going basis. We base our estimates and judgments on historical experience and on various other assumptions that we believe to be reasonable under the circumstances. Actual results may differ from these estimates. We believe the following accounting policies are critical to the judgments and estimates we use in preparing our financial statements. For a complete listing of our critical accounting policies, please refer to our Annual Report on Form 10-K for the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generate revenue from the initial capital sales of systems as well as recurring revenue from the sale of our proprietary disposable devices, from royalties paid to the Company on the sale of various devices as provided by co-development and co-placement arrangements, and from other recurring revenue including ongoing software updates and service contracts.</w:t>
      </w:r>
    </w:p>
    <w:p>
      <w:pPr>
        <w:sectPr>
          <w:pgSz w:w="11900" w:h="16838" w:orient="portrait"/>
          <w:cols w:equalWidth="0" w:num="1">
            <w:col w:w="11240"/>
          </w:cols>
          <w:pgMar w:left="320" w:top="661" w:right="339" w:bottom="24" w:gutter="0" w:footer="0" w:header="0"/>
        </w:sectPr>
      </w:pPr>
    </w:p>
    <w:bookmarkStart w:id="22" w:name="page23"/>
    <w:bookmarkEnd w:id="22"/>
    <w:p>
      <w:pPr>
        <w:jc w:val="both"/>
        <w:ind w:firstLine="324"/>
        <w:spacing w:after="0" w:line="279" w:lineRule="auto"/>
        <w:rPr>
          <w:sz w:val="20"/>
          <w:szCs w:val="20"/>
          <w:color w:val="auto"/>
        </w:rPr>
      </w:pPr>
      <w:r>
        <w:rPr>
          <w:rFonts w:ascii="Arial" w:cs="Arial" w:eastAsia="Arial" w:hAnsi="Arial"/>
          <w:sz w:val="17"/>
          <w:szCs w:val="17"/>
          <w:color w:val="auto"/>
        </w:rPr>
        <w:t>In accordance with Accounting Standards Codification Topic 606 (“ASC 606”), “Revenue from Contracts with Customers,” we account for a contract with a customer when there is a legally enforceable contract between the Company and the customer, the rights of the parties are identified, the contract has commercial substance, and collectability of the contract consideration is probable. We record our revenue based on consideration specified in the contract with each customer, net of any taxes collected from customers that are remitted to government authorities.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contracts containing multiple products and services the Company accounts for individual products and services as separate performance obligations if they are distinct, which is if a product or service is separately identifiable from other items in the bundled package, and if a customer can benefit from it on its own or with other resources that are readily available to the customer. The Company recognizes revenues as the performance obligations are satisfied by transferring control of the product or service to a customer.</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arrangements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and market conditions. The Company regularly reviews standalone selling prices and updates these estimates as necessary.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u w:val="single" w:color="auto"/>
          <w:color w:val="auto"/>
        </w:rPr>
        <w:t>Systems:</w:t>
      </w:r>
    </w:p>
    <w:p>
      <w:pPr>
        <w:spacing w:after="0" w:line="22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Contracts related to the sale of systems typically contain separate obligations for the delivery of system(s), installation and an implied obligation to provide software enhancements if and when available for one year following installation. Revenue is recognized when the Company transfers control to the customer, which is generally at the point when acceptance occurs that indicates customer acknowledgment of delivery or installation, depending on the terms of the arrangement. Revenue from the implied obligation to deliver software enhancements if and when available is recognized ratably over the first year following installation of the system as the customer receives the right to software enhancements throughout the period and is included in Other Recurring Revenue. The Company’s system contracts do not provide a right of return. Systems are generally covered by a one-year assurance type warranty; warranty costs were approximately $0.1 million for the nine months ended September 30, 2023, and 2022.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Disposables:</w:t>
      </w:r>
    </w:p>
    <w:p>
      <w:pPr>
        <w:spacing w:after="0" w:line="22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Revenue from sales of disposable products is recognized when control is transferred to the customers, which generally occurs at the time of shipment, but can also occur at the time of delivery depending on the customer arrangement. Disposable products are covered by an assurance type warranty that provides for the return of defective products. Warranty costs were not material for the nine months ended September 30, 2023, and 2022.</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Royalty:</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receives royalties on the sale of various devices as provided by co-development and co-placement arrangements with various manufacturers. The Company received royalty payments from Biosense Webster, payable quarterly based on net revenues from sales of the co-developed catheters, during the term of the agreement.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Recurring Revenue:</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Other recurring revenue includes revenue from product maintenance plans, other post warranty maintenance, and the implied obligation to provide software enhancements if and when available for a specified period, typically one year following installation of our systems. Revenue from services and software enhancements is deferred and amortized over the service or update period, which is typically one year. Revenue related to services performed on a time-and-materials basis is recognized when performed.</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invoices its customers based on the billing schedules in its sales arrangements. Contract assets primarily represent the difference between the revenue that was recognized based on the relative selling price of the related performance obligations and the contractual billing terms in the arrangements. Customer deposits primarily relate to future system sales but can also include deposits on disposable sales. Deferred revenue is primarily related to service contracts, for which the service fees are billed up-front, generally quarterly or annually, and for amounts billed in advance for system contracts for which some performance obligations remain outstanding. For service contracts, the associated deferred revenue is generally recognized ratably over the service period. For system contracts, the associated deferred revenue is recognized when the remaining performance obligations are satisfied. See Note 2 for additional detail on deferred revenue. The Company did not have any credit losses on its contract assets for the periods presented therefore no allowance for credit losses was recorded as of September 30, 2023, or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Recognized from the Costs to Obtain a Contract with a Customer</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has determined that sales incentive programs for the Company’s sales team meet the requirements to be capitalized as the Company expects to generate future economic benefits from the related revenue generating contracts after the initial capital sales transaction. The costs capitalized as contract acquisition costs included in prepaid expenses and other assets in the Company’s balance sheets were $0.1 million and $0.2 million as of September 30, 2023, and December 31, 2022, respectively. The Company did not incur any impairment losses during any of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accounts for leases in accordance with ASU No. 2016-02 “Leases” (Topic 842) and all subsequent ASUs that modified Topic 842. A lease is defined as a contract, or part of a contract, that conveys the right to control the use of identified property, plant or equipment for a period of time in exchange for consideration. The Company determines if a contract contains a lease at inception. For contracts where the Company is the lessee, operating leases are included in operating lease right-of-use (“ROU”) assets and operating lease liability on the Company’s balance sheet. The Company currently does not have any finance leases.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at commencement date. ROU assets also include any initial direct costs incurred and any lease payments made at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Lease terms may include options to extend or terminate when the Company is reasonably certain that the option will be exercised. Lease expense is recognized on a straight-line basis over the lease term.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ind w:firstLine="324"/>
        <w:spacing w:after="0" w:line="286" w:lineRule="auto"/>
        <w:rPr>
          <w:sz w:val="20"/>
          <w:szCs w:val="20"/>
          <w:color w:val="auto"/>
        </w:rPr>
      </w:pPr>
      <w:r>
        <w:rPr>
          <w:rFonts w:ascii="Arial" w:cs="Arial" w:eastAsia="Arial" w:hAnsi="Arial"/>
          <w:sz w:val="17"/>
          <w:szCs w:val="17"/>
          <w:color w:val="auto"/>
        </w:rPr>
        <w:t>The Company also has lease arrangements with lease and non-lease components. The Company elected the practical expedient not to separate non-lease components from lease components for the Company’s operating leases. Additionally, the Company applies the short-term lease measurement and recognition exemption in which right of use assets and lease liabilities are not recognized for leases less than twelve months.</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disclosed in Note 7, on March 1, 2021, the Company entered into an office lease agreement (the “Lease”) with Globe Building Company (the “Landlord”), under which the Company is leasing executive office space and manufacturing facilities of approximately 43,100 square feet of rentable space located at 710 N. Tucker Boulevard, St. Louis, Missouri (the “Premises”) that serves as the Company’s principal executive and administrative offices and manufacturing facility. Lease payments commenced on January 1, 2022 and the lease has a term of ten years, with two renewal options of five years each. The minimum annual rent under the terms of the Lease ranges from approximately $0.8 million in 2022 to $1.0 million in 2031.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Contracts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of systems revenue include direct product costs, installation labor and other costs, estimated warranty costs, and initial training and product maintenance costs. These costs are recognized at the time of sale. Costs of disposable revenue include direct product costs and estimated warranty costs and are recognized at the time of sale. Cost of revenue from services and license fees are recognized when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accounts for its grants of stock options, stock appreciation rights, restricted shares, restricted stock units and for its employee stock purchase plan in accordance with the provisions of general accounting principles for share-based payments. These accounting principles require the determination of the fair value of the stock-based compensation at the grant date and the recognition of the related expense over the period in which the stock-based compensation vests.</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time-based awards, the Company utilizes the Black-Scholes valuation model to determine the fair value of stock options and stock appreciation rights at the date of grant. The resulting compensation expense is recognized over the requisite service period, which is generally four years. Restricted shares and units granted to employees are valued at the fair market value at the date of grant. The Company amortizes the fair market value to expense over the service period. If the shares are subject to performance objectives, the resulting compensation expense is amortized over the anticipated vesting period and is subject to adjustment based on the actual achievement of objectives.</w:t>
      </w:r>
    </w:p>
    <w:p>
      <w:pPr>
        <w:spacing w:after="0" w:line="1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market-based awards, stock-based compensation expense is recognized over the minimum service period regardless of whether or not the market target is probable of being achieved. The fair value of such awards is estimated on the grant date using Monte Carlo simulations.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purchased by employees under the 2022 Employee Stock Purchase Plans are considered to be non-compensatory.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September 30, 2023 and 2022</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increased from $7.7 million for the three months ended September 30, 2022, to $7.8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2023, an increase of 2%. Revenue from the sales of systems increased to $3.5 million for the three months ended September 30, 2023, from $2.4 million for the three months ended September 30, 2022, driven by increased system sales volumes and changes in product mix in the current year period. Revenue from sales of disposable interventional devices, service, and accessories decreased to approximately $4.3 million for the three months ended September 30, 2023, from $5.3 million for the three months ended September 30, 2022, a decrease of approximately 19%. The decrease was primarily driven by lower current period disposable sales and prior period royalties paid to the Company by Biosense Webster on the sale of co-developed catheters during the term of the agreement.</w:t>
      </w:r>
    </w:p>
    <w:p>
      <w:pPr>
        <w:spacing w:after="0" w:line="19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from $3.1 million for the three months ended September 30, 2022, to $3.7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2023, an increase of approximately 21%. As a percentage of our total revenue, overall gross margin decreased to 52% for the three months ended September 30, 2023, from 60% for the three months ended September 30, 2022, primarily due to changes in product mix. Cost of revenue for systems sold increased to $2.9 million for the three months ended September 30, 2023, from $2.0 million for the three months ended September 30, 2022, driven by increased system sales volumes and changes in product mix in the current year period. Gross margin for systems was $0.6 million for the three months ended September 30, 2023, compared to $0.4 million for the three months ended September 30, 2022. Cost of revenue for disposables, service, and accessories decreased from $1.1 million for the three months ended September 30, 2022, to $0.8 million for the three months ended September 30, 2023, driven by lower expenses incurred under service contracts and lower disposable sales volumes in the current year period. Gross margin for disposables, service, and accessories remained consistent at 80% for the three months ended September 30, 2023, and 2022.</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decreased from $2.8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to $2.7 million for the three months ended September 30, 2023, a decrease of approximately 5%. This decrease was primarily driven by project timing in the current year period.</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Sales and Marketing Expenses</w:t>
      </w:r>
      <w:r>
        <w:rPr>
          <w:rFonts w:ascii="Arial" w:cs="Arial" w:eastAsia="Arial" w:hAnsi="Arial"/>
          <w:sz w:val="18"/>
          <w:szCs w:val="18"/>
          <w:color w:val="auto"/>
        </w:rPr>
        <w:t>. Sales and marketing expenses remained consistent at $3.1 million for the three months ended September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2023.</w:t>
      </w:r>
    </w:p>
    <w:p>
      <w:pPr>
        <w:spacing w:after="0" w:line="1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finance, information systems, legal, and general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and administrative expenses increased from $3.7 million for the three months ended September 30, 2022, to $3.9 million for the three months ended September 30, 2023, an increase of approximately 7%. This increase was primarily driven by higher administrative expenses in the current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929" w:gutter="0" w:footer="0" w:header="0"/>
        </w:sectPr>
      </w:pPr>
    </w:p>
    <w:bookmarkStart w:id="25" w:name="page26"/>
    <w:bookmarkEnd w:id="25"/>
    <w:p>
      <w:pPr>
        <w:jc w:val="both"/>
        <w:ind w:firstLine="324"/>
        <w:spacing w:after="0" w:line="263" w:lineRule="auto"/>
        <w:rPr>
          <w:sz w:val="20"/>
          <w:szCs w:val="20"/>
          <w:color w:val="auto"/>
        </w:rPr>
      </w:pPr>
      <w:r>
        <w:rPr>
          <w:rFonts w:ascii="Arial" w:cs="Arial" w:eastAsia="Arial" w:hAnsi="Arial"/>
          <w:sz w:val="18"/>
          <w:szCs w:val="18"/>
          <w:i w:val="1"/>
          <w:iCs w:val="1"/>
          <w:color w:val="auto"/>
        </w:rPr>
        <w:t>Interest Income (Expense)</w:t>
      </w:r>
      <w:r>
        <w:rPr>
          <w:rFonts w:ascii="Arial" w:cs="Arial" w:eastAsia="Arial" w:hAnsi="Arial"/>
          <w:sz w:val="18"/>
          <w:szCs w:val="18"/>
          <w:color w:val="auto"/>
        </w:rPr>
        <w:t>. Net interest income was approximately $0.3 million for the three months ended September 30,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$0.1 million for the three months ended September 30, 2022. The increase was driven by increased interest rates and higher invested balances in the current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2023 and 2022</w:t>
      </w:r>
    </w:p>
    <w:p>
      <w:pPr>
        <w:spacing w:after="0" w:line="225" w:lineRule="exact"/>
        <w:rPr>
          <w:sz w:val="20"/>
          <w:szCs w:val="20"/>
          <w:color w:val="auto"/>
        </w:rPr>
      </w:pPr>
    </w:p>
    <w:p>
      <w:pPr>
        <w:jc w:val="both"/>
        <w:ind w:firstLine="454"/>
        <w:spacing w:after="0" w:line="254"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increased from $20.8 million for the nine months ended September 30, 2022, to $22.2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an increase of approximately 7%. Revenue from the sales of systems increased to $8.7 million for the nine months ended September 30, 2023, from $4.6 million for the nine months ended September 30, 2022, driven by increased system sales volumes in the current year period. Revenue from sales of disposable interventional devices, service and accessories decreased to $13.5 million for the nine months ended September 30, 2023, from $16.2 million for the nine months ended September 30, 2022, a decrease of approximately 16%. The decrease was primarily driven by prior period royalties paid to the Company by Biosense Webster on the sale of co-developed catheters during the term of the agreement and was enhanced by procedure challenges related to partner supply chain issues.</w:t>
      </w:r>
    </w:p>
    <w:p>
      <w:pPr>
        <w:spacing w:after="0" w:line="195" w:lineRule="exact"/>
        <w:rPr>
          <w:sz w:val="20"/>
          <w:szCs w:val="20"/>
          <w:color w:val="auto"/>
        </w:rPr>
      </w:pPr>
    </w:p>
    <w:p>
      <w:pPr>
        <w:jc w:val="both"/>
        <w:ind w:firstLine="454"/>
        <w:spacing w:after="0" w:line="288"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from $6.7 million for the nine months ended September 30, 2022, to $10.1 million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2023, an increase of approximately 51%. As a percentage of our total revenue, overall gross margin decreased to 55% for the nine months ended September 30, 2023, from 68% for the nine months ended September 30, 2022, primarily due to changes in product mix. Cost of revenue for systems sold increased to $7.3 million for the nine months ended September 30, 2023, from $3.8 million for the nine months ended September 30, 2022, driven by higher system sales in the current year period. Gross margin for systems was $1.4 million for the nine months ended September 30, 2023, compared to $0.8 million for the nine months ended September 30, 2022. Cost of revenue for disposables, service, and accessories decreased from $2.9 million for the nine months ended September 30, 2022, to $2.8 million for the nine months ended September 30, 2023, driven by lower disposable sales volumes partially offset by higher expenses incurred under service contracts in the current period. Gross margin for disposables, service and accessories was 79% for the nine months ended September 30, 2023, compared to 82% for the nine months ended September 30, 2022. The decrease was driven primarily by the prior period royalties paid to the Company by Biosense Webster on the sale of co-developed catheters during the term of the agreement.</w:t>
      </w:r>
    </w:p>
    <w:p>
      <w:pPr>
        <w:spacing w:after="0" w:line="16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decreased from $8.2 million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to $8.1 million for the nine months ended September 30, 2023, a decrease of 1%. This decrease was driven by project timing in the current period.</w:t>
      </w:r>
    </w:p>
    <w:p>
      <w:pPr>
        <w:spacing w:after="0" w:line="124" w:lineRule="exact"/>
        <w:rPr>
          <w:sz w:val="20"/>
          <w:szCs w:val="20"/>
          <w:color w:val="auto"/>
        </w:rPr>
      </w:pPr>
    </w:p>
    <w:p>
      <w:pPr>
        <w:jc w:val="both"/>
        <w:ind w:firstLine="454"/>
        <w:spacing w:after="0" w:line="263" w:lineRule="auto"/>
        <w:rPr>
          <w:sz w:val="20"/>
          <w:szCs w:val="20"/>
          <w:color w:val="auto"/>
        </w:rPr>
      </w:pPr>
      <w:r>
        <w:rPr>
          <w:rFonts w:ascii="Arial" w:cs="Arial" w:eastAsia="Arial" w:hAnsi="Arial"/>
          <w:sz w:val="18"/>
          <w:szCs w:val="18"/>
          <w:i w:val="1"/>
          <w:iCs w:val="1"/>
          <w:color w:val="auto"/>
        </w:rPr>
        <w:t>Sales and Marketing Expenses</w:t>
      </w:r>
      <w:r>
        <w:rPr>
          <w:rFonts w:ascii="Arial" w:cs="Arial" w:eastAsia="Arial" w:hAnsi="Arial"/>
          <w:sz w:val="18"/>
          <w:szCs w:val="18"/>
          <w:color w:val="auto"/>
        </w:rPr>
        <w:t>. Sales and marketing expenses increased from $9.3 million for the nine months ended September 30, 2022, to $9.6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2023, an increase of approximately 3%. This increase was primarily due to increased travel and headcount expenses.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finance, information systems, legal, and general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remained consistent at $11.0 million for the nine months ended September 30, 2022, and 2023.</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Interest Income (Expense)</w:t>
      </w:r>
      <w:r>
        <w:rPr>
          <w:rFonts w:ascii="Arial" w:cs="Arial" w:eastAsia="Arial" w:hAnsi="Arial"/>
          <w:sz w:val="18"/>
          <w:szCs w:val="18"/>
          <w:color w:val="auto"/>
        </w:rPr>
        <w:t>. Net interest income was approximately $0.8 million for the nine months ended September 30, 2023,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$0.2 million for the nine months ended September 30, 2022. The increase was driven by increased interest rates and higher invested balances in the current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Liquidity refers to the liquid financial assets available to fund our business operations and pay for near-term obligations. These liquid financial assets consist of cash, cash equivalents, and investments.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2023, we had $23.0 million of cash and cash equivalents, inclusive of restricted cash. We had working capital of $22.5 million as of September 30, 2023, compared to $29.0 million as of December 31, 2022.</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summarizes our cash flow by operating, investing and financing activities for the nine months ended September 30, 2023, and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62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used in operating activities</w:t>
            </w: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(6,700)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(5,863)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Cash flow provided by (used in) investing activities</w:t>
            </w:r>
          </w:p>
        </w:tc>
        <w:tc>
          <w:tcPr>
            <w:tcW w:w="9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19,765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(2,009)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 provided by financing activities</w:t>
            </w:r>
          </w:p>
        </w:tc>
        <w:tc>
          <w:tcPr>
            <w:tcW w:w="9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Net cash used in operating activities</w:t>
      </w:r>
      <w:r>
        <w:rPr>
          <w:rFonts w:ascii="Arial" w:cs="Arial" w:eastAsia="Arial" w:hAnsi="Arial"/>
          <w:sz w:val="18"/>
          <w:szCs w:val="18"/>
          <w:color w:val="auto"/>
        </w:rPr>
        <w:t>. We used approximately $6.7 million and $5.9 million of cash for operating activities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and 2022, respectively. The increase in cash used in operating activities was driven by the increase in operating loss in the current year period partially offset by changes in working capital.</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Net cash provided by (used in) investing activities</w:t>
      </w:r>
      <w:r>
        <w:rPr>
          <w:rFonts w:ascii="Arial" w:cs="Arial" w:eastAsia="Arial" w:hAnsi="Arial"/>
          <w:sz w:val="18"/>
          <w:szCs w:val="18"/>
          <w:color w:val="auto"/>
        </w:rPr>
        <w:t>. We generated approximately $19.8 million and used approximately $2.0 million of cash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2023, and 2022, respectively. The cash generated during the nine months ended September 30, 2023, was from proceeds received from the maturity of short-term investments. The cash used during the nine months ended September 30, 2022, was for the purchase of equipment, construction and design costs associated with our new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078" w:gutter="0" w:footer="0" w:header="0"/>
        </w:sectPr>
      </w:pPr>
    </w:p>
    <w:bookmarkStart w:id="26" w:name="page27"/>
    <w:bookmarkEnd w:id="26"/>
    <w:p>
      <w:pPr>
        <w:jc w:val="both"/>
        <w:ind w:firstLine="324"/>
        <w:spacing w:after="0" w:line="263"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We generated less than $0.1 million and approximately $0.2 million of cash from financing activities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2023, and 2022, respectively. The cash generated in both periods was driven by the proceeds from issuance of stock from the exercise of options, net of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2023, the Company did not have any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In addition, we do not engage in trading activities involving non-exchange traded contracts. As a result, we are not materially exposed to any financing, liquidity, market, or credit risk that could have arisen if we had engaged in these relationships.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[RESERVED]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The Company’s management, with the participation of the Company’s Chief Executive Officer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w:t>
      </w:r>
    </w:p>
    <w:p>
      <w:pPr>
        <w:spacing w:after="0" w:line="1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We maintain our cash at financial institutions, often in balances that exceed federally insured limits: </w:t>
      </w:r>
      <w:r>
        <w:rPr>
          <w:rFonts w:ascii="Arial" w:cs="Arial" w:eastAsia="Arial" w:hAnsi="Arial"/>
          <w:sz w:val="17"/>
          <w:szCs w:val="17"/>
          <w:color w:val="auto"/>
        </w:rPr>
        <w:t>Adverse developments that affect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transactional counterparties, or other third parties, or concerns or rumors about these events, have in the past and may in the future lead to market-wide liquidity problems. The majority of our cash is held in accounts at U.S. banking institutions that we believe are of high quality. Cash held in depository accounts may exceed the $250,000 Federal Deposit Insurance Corporation (“FDIC”) insurance limits. If such banking institutions were to fail, we could lose all or a portion of those amounts held in excess of such insurance limitations. On March 10, 2023, Silicon Valley Bank (“SVB”), where the Company maintained accounts with a cash balance of less than 6% of the Company’s total cash, cash equivalents and marketable securities, was closed by the California Department of Financial Protection and Innovation and the FDIC was appointed as receiver. On March 12, 2023, the U.S. Department of the Treasury, Federal Reserve Board, and FDIC released a joint statement announcing that the FDIC would complete its resolution of SVB in a manner that fully protected all depositors at SVB and that depositors would have access to all of their money starting March 13, 2023. On March 26, 2023, it was announced that First-Citizens Bank &amp; Trust Company would assume all of SVB’s deposits and loans as of March 27, 2023. During the periods presented, the Company has not experienced any losses on its deposits of cash, cash equivalents or marketable securities. However,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business and our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[RESERVED]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1"/>
          </w:tcPr>
          <w:p>
            <w:pPr>
              <w:spacing w:after="0"/>
              <w:rPr>
                <w:rFonts w:ascii="Arial" w:cs="Arial" w:eastAsia="Arial" w:hAnsi="Arial"/>
                <w:sz w:val="18"/>
                <w:szCs w:val="18"/>
                <w:color w:val="0000EE"/>
                <w:w w:val="93"/>
              </w:rPr>
            </w:pPr>
            <w:hyperlink r:id="rId39">
              <w:r>
                <w:rPr>
                  <w:rFonts w:ascii="Arial" w:cs="Arial" w:eastAsia="Arial" w:hAnsi="Arial"/>
                  <w:sz w:val="18"/>
                  <w:szCs w:val="18"/>
                  <w:color w:val="0000EE"/>
                  <w:w w:val="93"/>
                </w:rPr>
                <w:t>Restated Articles of Incorporation of the Registrant, incorporated by reference to Exhibit 3.1 of the Registrant’s Form 10-Q (File No. 000-</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50884) for the fiscal quarter ended September 30, 2004.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Arial" w:cs="Arial" w:eastAsia="Arial" w:hAnsi="Arial"/>
                <w:sz w:val="18"/>
                <w:szCs w:val="18"/>
                <w:color w:val="0000EE"/>
              </w:rPr>
            </w:pPr>
            <w:hyperlink r:id="rId40">
              <w:r>
                <w:rPr>
                  <w:rFonts w:ascii="Arial" w:cs="Arial" w:eastAsia="Arial" w:hAnsi="Arial"/>
                  <w:sz w:val="18"/>
                  <w:szCs w:val="18"/>
                  <w:color w:val="0000EE"/>
                </w:rPr>
                <w:t>Certificate of Amendment to Amended and Restated Certificate of Incorporation, incorporated by reference to Exhibit 3.1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Registrant’s Form 8-K (File No. 000-50884) filed on July 10, 2012.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Certificate of Designations, Preferences and Rights of Series A Convertible Preferred Stock, incorporated by reference to Exhibit 3.1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Registrant’s Current Report on Form 8-K (File No. 001-36159) filed on September 30, 2016.</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Certificate of Designations, Preferences and Rights of Series B Convertible Preferred Stock, incorporated by reference to Exhibit 3.1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Registrant’s Current Report on Form 8-K (File No. 001-36159) filed on August 8,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Arial" w:cs="Arial" w:eastAsia="Arial" w:hAnsi="Arial"/>
                <w:sz w:val="18"/>
                <w:szCs w:val="18"/>
                <w:color w:val="0000EE"/>
                <w:w w:val="95"/>
              </w:rPr>
            </w:pPr>
            <w:hyperlink r:id="rId43">
              <w:r>
                <w:rPr>
                  <w:rFonts w:ascii="Arial" w:cs="Arial" w:eastAsia="Arial" w:hAnsi="Arial"/>
                  <w:sz w:val="18"/>
                  <w:szCs w:val="18"/>
                  <w:color w:val="0000EE"/>
                  <w:w w:val="95"/>
                </w:rPr>
                <w:t>Restated Bylaws of the Registrant, incorporated by reference to Exhibit 3.2 of the Registrant’s Form 10-Q (File No. 000-50884)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43">
              <w:r>
                <w:rPr>
                  <w:rFonts w:ascii="Arial" w:cs="Arial" w:eastAsia="Arial" w:hAnsi="Arial"/>
                  <w:sz w:val="18"/>
                  <w:szCs w:val="18"/>
                  <w:color w:val="0000EE"/>
                  <w:w w:val="88"/>
                </w:rPr>
                <w:t>fiscal quarter ended September 30, 2004.</w:t>
              </w:r>
            </w:hyperlink>
          </w:p>
        </w:tc>
        <w:tc>
          <w:tcPr>
            <w:tcW w:w="7180" w:type="dxa"/>
            <w:vAlign w:val="bottom"/>
            <w:gridSpan w:val="10"/>
          </w:tcPr>
          <w:p>
            <w:pPr>
              <w:spacing w:after="0"/>
              <w:rPr>
                <w:sz w:val="17"/>
                <w:szCs w:val="17"/>
                <w:color w:val="auto"/>
              </w:rPr>
            </w:pP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Rule 13a-14(a)/15d-14(a) Certification (pursuant to Section 302 of the Sarbanes-Oxley Act of 2002, executed by Chief Executive Officer).</w:t>
            </w:r>
          </w:p>
        </w:tc>
        <w:tc>
          <w:tcPr>
            <w:tcW w:w="140" w:type="dxa"/>
            <w:vAlign w:val="bottom"/>
            <w:gridSpan w:val="2"/>
          </w:tcPr>
          <w:p>
            <w:pPr>
              <w:spacing w:after="0"/>
              <w:rPr>
                <w:sz w:val="24"/>
                <w:szCs w:val="24"/>
                <w:color w:val="auto"/>
              </w:rPr>
            </w:pP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140" w:type="dxa"/>
            <w:vAlign w:val="bottom"/>
            <w:gridSpan w:val="11"/>
          </w:tcPr>
          <w:p>
            <w:pPr>
              <w:spacing w:after="0"/>
              <w:rPr>
                <w:sz w:val="20"/>
                <w:szCs w:val="20"/>
                <w:color w:val="auto"/>
              </w:rPr>
            </w:pPr>
            <w:r>
              <w:rPr>
                <w:rFonts w:ascii="Arial" w:cs="Arial" w:eastAsia="Arial" w:hAnsi="Arial"/>
                <w:sz w:val="18"/>
                <w:szCs w:val="18"/>
                <w:color w:val="0000EE"/>
                <w:w w:val="93"/>
              </w:rPr>
              <w:t>Rule 13a-14(a)/15d-14(a) Certification (pursuant to Section 302 of the Sarbanes-Oxley Act of 2002, executed by Chief Financial Officer).</w:t>
            </w: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91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1"/>
              </w:rPr>
              <w:t>Section 1350 Certification (pursuant to Section 906 of the Sarbanes-Oxley Act of 2002, executed by Chief Executive Officer).</w:t>
            </w:r>
          </w:p>
        </w:tc>
        <w:tc>
          <w:tcPr>
            <w:tcW w:w="840" w:type="dxa"/>
            <w:vAlign w:val="bottom"/>
            <w:tcBorders>
              <w:top w:val="single" w:sz="8" w:color="0000EE"/>
            </w:tcBorders>
          </w:tcPr>
          <w:p>
            <w:pPr>
              <w:spacing w:after="0"/>
              <w:rPr>
                <w:sz w:val="24"/>
                <w:szCs w:val="24"/>
                <w:color w:val="auto"/>
              </w:rPr>
            </w:pPr>
          </w:p>
        </w:tc>
        <w:tc>
          <w:tcPr>
            <w:tcW w:w="200" w:type="dxa"/>
            <w:vAlign w:val="bottom"/>
            <w:gridSpan w:val="3"/>
          </w:tcPr>
          <w:p>
            <w:pPr>
              <w:spacing w:after="0"/>
              <w:rPr>
                <w:sz w:val="24"/>
                <w:szCs w:val="24"/>
                <w:color w:val="auto"/>
              </w:rPr>
            </w:pPr>
          </w:p>
        </w:tc>
      </w:tr>
      <w:tr>
        <w:trPr>
          <w:trHeight w:val="412"/>
        </w:trPr>
        <w:tc>
          <w:tcPr>
            <w:tcW w:w="9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4"/>
                <w:szCs w:val="24"/>
                <w:color w:val="auto"/>
              </w:rPr>
            </w:pPr>
          </w:p>
        </w:tc>
        <w:tc>
          <w:tcPr>
            <w:tcW w:w="10140" w:type="dxa"/>
            <w:vAlign w:val="bottom"/>
            <w:gridSpan w:val="11"/>
          </w:tcPr>
          <w:p>
            <w:pPr>
              <w:spacing w:after="0"/>
              <w:rPr>
                <w:sz w:val="20"/>
                <w:szCs w:val="20"/>
                <w:color w:val="auto"/>
              </w:rPr>
            </w:pPr>
            <w:r>
              <w:rPr>
                <w:rFonts w:ascii="Arial" w:cs="Arial" w:eastAsia="Arial" w:hAnsi="Arial"/>
                <w:sz w:val="18"/>
                <w:szCs w:val="18"/>
                <w:color w:val="0000EE"/>
              </w:rPr>
              <w:t>Section 1350 Certification (pursuant to Section 906 of the Sarbanes-Oxley Act of 2002, executed by Chief Financial Officer).</w:t>
            </w:r>
          </w:p>
        </w:tc>
      </w:tr>
      <w:tr>
        <w:trPr>
          <w:trHeight w:val="453"/>
        </w:trPr>
        <w:tc>
          <w:tcPr>
            <w:tcW w:w="1100" w:type="dxa"/>
            <w:vAlign w:val="bottom"/>
            <w:gridSpan w:val="2"/>
          </w:tcPr>
          <w:p>
            <w:pPr>
              <w:ind w:left="200"/>
              <w:spacing w:after="0"/>
              <w:rPr>
                <w:sz w:val="20"/>
                <w:szCs w:val="20"/>
                <w:color w:val="auto"/>
              </w:rPr>
            </w:pPr>
            <w:r>
              <w:rPr>
                <w:rFonts w:ascii="Arial" w:cs="Arial" w:eastAsia="Arial" w:hAnsi="Arial"/>
                <w:sz w:val="18"/>
                <w:szCs w:val="18"/>
                <w:color w:val="auto"/>
              </w:rPr>
              <w:t>101.INS</w:t>
            </w:r>
          </w:p>
        </w:tc>
        <w:tc>
          <w:tcPr>
            <w:tcW w:w="90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Inline XBRL Instance Document.</w:t>
            </w:r>
          </w:p>
        </w:tc>
        <w:tc>
          <w:tcPr>
            <w:tcW w:w="1100" w:type="dxa"/>
            <w:vAlign w:val="bottom"/>
            <w:gridSpan w:val="5"/>
          </w:tcPr>
          <w:p>
            <w:pPr>
              <w:spacing w:after="0"/>
              <w:rPr>
                <w:sz w:val="24"/>
                <w:szCs w:val="24"/>
                <w:color w:val="auto"/>
              </w:rPr>
            </w:pPr>
          </w:p>
        </w:tc>
      </w:tr>
      <w:tr>
        <w:trPr>
          <w:trHeight w:val="432"/>
        </w:trPr>
        <w:tc>
          <w:tcPr>
            <w:tcW w:w="1100" w:type="dxa"/>
            <w:vAlign w:val="bottom"/>
            <w:gridSpan w:val="2"/>
          </w:tcPr>
          <w:p>
            <w:pPr>
              <w:ind w:left="160"/>
              <w:spacing w:after="0"/>
              <w:rPr>
                <w:sz w:val="20"/>
                <w:szCs w:val="20"/>
                <w:color w:val="auto"/>
              </w:rPr>
            </w:pPr>
            <w:r>
              <w:rPr>
                <w:rFonts w:ascii="Arial" w:cs="Arial" w:eastAsia="Arial" w:hAnsi="Arial"/>
                <w:sz w:val="18"/>
                <w:szCs w:val="18"/>
                <w:color w:val="auto"/>
              </w:rPr>
              <w:t>101.SCH</w:t>
            </w:r>
          </w:p>
        </w:tc>
        <w:tc>
          <w:tcPr>
            <w:tcW w:w="101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100" w:type="dxa"/>
            <w:vAlign w:val="bottom"/>
            <w:gridSpan w:val="2"/>
          </w:tcPr>
          <w:p>
            <w:pPr>
              <w:ind w:left="160"/>
              <w:spacing w:after="0"/>
              <w:rPr>
                <w:sz w:val="20"/>
                <w:szCs w:val="20"/>
                <w:color w:val="auto"/>
              </w:rPr>
            </w:pPr>
            <w:r>
              <w:rPr>
                <w:rFonts w:ascii="Arial" w:cs="Arial" w:eastAsia="Arial" w:hAnsi="Arial"/>
                <w:sz w:val="18"/>
                <w:szCs w:val="18"/>
                <w:color w:val="auto"/>
              </w:rPr>
              <w:t>101.CAL</w:t>
            </w:r>
          </w:p>
        </w:tc>
        <w:tc>
          <w:tcPr>
            <w:tcW w:w="101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100" w:type="dxa"/>
            <w:vAlign w:val="bottom"/>
            <w:gridSpan w:val="2"/>
          </w:tcPr>
          <w:p>
            <w:pPr>
              <w:ind w:left="160"/>
              <w:spacing w:after="0"/>
              <w:rPr>
                <w:sz w:val="20"/>
                <w:szCs w:val="20"/>
                <w:color w:val="auto"/>
              </w:rPr>
            </w:pPr>
            <w:r>
              <w:rPr>
                <w:rFonts w:ascii="Arial" w:cs="Arial" w:eastAsia="Arial" w:hAnsi="Arial"/>
                <w:sz w:val="18"/>
                <w:szCs w:val="18"/>
                <w:color w:val="auto"/>
              </w:rPr>
              <w:t>101.DEF</w:t>
            </w:r>
          </w:p>
        </w:tc>
        <w:tc>
          <w:tcPr>
            <w:tcW w:w="101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100" w:type="dxa"/>
            <w:vAlign w:val="bottom"/>
            <w:gridSpan w:val="2"/>
          </w:tcPr>
          <w:p>
            <w:pPr>
              <w:ind w:left="160"/>
              <w:spacing w:after="0"/>
              <w:rPr>
                <w:sz w:val="20"/>
                <w:szCs w:val="20"/>
                <w:color w:val="auto"/>
              </w:rPr>
            </w:pPr>
            <w:r>
              <w:rPr>
                <w:rFonts w:ascii="Arial" w:cs="Arial" w:eastAsia="Arial" w:hAnsi="Arial"/>
                <w:sz w:val="18"/>
                <w:szCs w:val="18"/>
                <w:color w:val="auto"/>
              </w:rPr>
              <w:t>101.LAB</w:t>
            </w:r>
          </w:p>
        </w:tc>
        <w:tc>
          <w:tcPr>
            <w:tcW w:w="101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10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01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5540" w:right="4360" w:hanging="5181"/>
        <w:spacing w:after="0" w:line="527" w:lineRule="auto"/>
        <w:tabs>
          <w:tab w:leader="none" w:pos="1107"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STEREOTAXIS,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STEREOTAXIS, INC. (Registrant)</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David L. 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David L. Fischel</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Kimberly R. Peery</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L. Fischel,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Stereotaxis,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3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3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hanging="8"/>
        <w:spacing w:after="0" w:line="308" w:lineRule="auto"/>
        <w:tabs>
          <w:tab w:leader="none" w:pos="59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59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i w:val="1"/>
          <w:iCs w:val="1"/>
          <w:color w:val="auto"/>
        </w:rPr>
        <w:t>/s/ David L. 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L. Fischel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Stereotaxis,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Kimberly R. Peery,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Stereotaxis,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0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3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hanging="8"/>
        <w:spacing w:after="0" w:line="308" w:lineRule="auto"/>
        <w:tabs>
          <w:tab w:leader="none" w:pos="59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59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i w:val="1"/>
          <w:iCs w:val="1"/>
          <w:color w:val="auto"/>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Kimberly R. Peery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Stereotaxis,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of Stereotaxis, Inc. (the “Company”) on Form 10-Q for the period ended September 30, 2023 as filed with the Securities and Exchange Commission on the date hereof (the “Report”), I, David L. Fischel, Chief Executive Officer of the Company, certify, pursuant to Rule 13a-14(b) and Section 1350 of Chapter 63 of Title 18 of the United States Code, as adopted pursuant to Section 906 of the Sarbanes-Oxley Act of 2002, that to the best of my knowledge:</w:t>
      </w:r>
    </w:p>
    <w:p>
      <w:pPr>
        <w:spacing w:after="0" w:line="187"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i w:val="1"/>
          <w:iCs w:val="1"/>
          <w:color w:val="auto"/>
        </w:rPr>
        <w:t>/s/ David L. 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L. Fischel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Stereotaxis,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of Stereotaxis, Inc. (the “Company”) on Form 10-Q for the period ended September 30, 2023 as filed with the Securities and Exchange Commission on the date hereof (the “Report”), I, Kimberly R. Peery, Chief Financial Officer of the Company, certify, pursuant to Rule 13a-14(b) and Section 1350 of Chapter 63 of Title 18 of the United States Code, as adopted pursuant to Section 906 of the Sarbanes-Oxley Act of 2002, that to the best of my knowledge:</w:t>
      </w:r>
    </w:p>
    <w:p>
      <w:pPr>
        <w:spacing w:after="0" w:line="187" w:lineRule="exact"/>
        <w:rPr>
          <w:sz w:val="20"/>
          <w:szCs w:val="20"/>
          <w:color w:val="auto"/>
        </w:rPr>
      </w:pPr>
    </w:p>
    <w:p>
      <w:pPr>
        <w:ind w:left="900" w:hanging="24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6"/>
          <w:szCs w:val="16"/>
          <w:i w:val="1"/>
          <w:iCs w:val="1"/>
          <w:color w:val="auto"/>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Kimberly R. Peery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Stereotaxis,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39" Type="http://schemas.openxmlformats.org/officeDocument/2006/relationships/hyperlink" Target="https://www.sec.gov/Archives/edgar/data/1289340/000119312504194896/dex31.htm" TargetMode="External"/><Relationship Id="rId40" Type="http://schemas.openxmlformats.org/officeDocument/2006/relationships/hyperlink" Target="https://www.sec.gov/Archives/edgar/data/1289340/000118143112040271/rrd350779_38055.htm" TargetMode="External"/><Relationship Id="rId41" Type="http://schemas.openxmlformats.org/officeDocument/2006/relationships/hyperlink" Target="https://www.sec.gov/Archives/edgar/data/1289340/000119312516725933/d315048dex31.htm" TargetMode="External"/><Relationship Id="rId42" Type="http://schemas.openxmlformats.org/officeDocument/2006/relationships/hyperlink" Target="https://www.sec.gov/Archives/edgar/data/1289340/000149315219011836/ex3-1.htm" TargetMode="External"/><Relationship Id="rId43" Type="http://schemas.openxmlformats.org/officeDocument/2006/relationships/hyperlink" Target="https://www.sec.gov/Archives/edgar/data/1289340/00011931250419489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2023-11-13T08:26:27Z</dcterms:created>
  <dcterms:modified xsi:type="dcterms:W3CDTF">2023-11-13T08:26:27Z</dcterms:modified>
</cp:coreProperties>
</file>