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Isaac Paul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900"/>
        <w:spacing w:after="0" w:line="292" w:lineRule="auto"/>
        <w:rPr>
          <w:sz w:val="20"/>
          <w:szCs w:val="20"/>
          <w:color w:val="auto"/>
        </w:rPr>
      </w:pPr>
      <w:r>
        <w:rPr>
          <w:rFonts w:ascii="Arial" w:cs="Arial" w:eastAsia="Arial" w:hAnsi="Arial"/>
          <w:sz w:val="17"/>
          <w:szCs w:val="17"/>
          <w:color w:val="0000FF"/>
        </w:rPr>
        <w:t>C/O ARBITER PARTNERS CAPITAL MANAGEMENT</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LLC, 530 FIFTH AVENUE, 20TH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Stereotaxis,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STXS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4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09/14/2023</w:t>
            </w:r>
          </w:p>
        </w:tc>
        <w:tc>
          <w:tcPr>
            <w:tcW w:w="236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6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09/14/2023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113"/>
              <w:spacing w:after="0"/>
              <w:rPr>
                <w:sz w:val="20"/>
                <w:szCs w:val="20"/>
                <w:color w:val="auto"/>
              </w:rPr>
            </w:pPr>
            <w:r>
              <w:rPr>
                <w:rFonts w:ascii="Arial" w:cs="Arial" w:eastAsia="Arial" w:hAnsi="Arial"/>
                <w:sz w:val="17"/>
                <w:szCs w:val="17"/>
                <w:color w:val="0000FF"/>
              </w:rPr>
              <w:t>7,168</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1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1.65</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2,636,807</w:t>
            </w:r>
          </w:p>
        </w:tc>
        <w:tc>
          <w:tcPr>
            <w:tcW w:w="300" w:type="dxa"/>
            <w:vAlign w:val="bottom"/>
          </w:tcPr>
          <w:p>
            <w:pPr>
              <w:spacing w:after="0"/>
              <w:rPr>
                <w:sz w:val="22"/>
                <w:szCs w:val="22"/>
                <w:color w:val="auto"/>
              </w:rPr>
            </w:pPr>
          </w:p>
        </w:tc>
        <w:tc>
          <w:tcPr>
            <w:tcW w:w="560" w:type="dxa"/>
            <w:vAlign w:val="bottom"/>
            <w:vMerge w:val="restart"/>
          </w:tcPr>
          <w:p>
            <w:pPr>
              <w:jc w:val="center"/>
              <w:ind w:right="29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09/15/2023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jc w:val="right"/>
              <w:ind w:right="73"/>
              <w:spacing w:after="0"/>
              <w:rPr>
                <w:sz w:val="20"/>
                <w:szCs w:val="20"/>
                <w:color w:val="auto"/>
              </w:rPr>
            </w:pPr>
            <w:r>
              <w:rPr>
                <w:rFonts w:ascii="Arial" w:cs="Arial" w:eastAsia="Arial" w:hAnsi="Arial"/>
                <w:sz w:val="17"/>
                <w:szCs w:val="17"/>
                <w:color w:val="0000FF"/>
              </w:rPr>
              <w:t>16,000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ind w:left="1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1.63</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2,652,807</w:t>
            </w:r>
          </w:p>
        </w:tc>
        <w:tc>
          <w:tcPr>
            <w:tcW w:w="300" w:type="dxa"/>
            <w:vAlign w:val="bottom"/>
          </w:tcPr>
          <w:p>
            <w:pPr>
              <w:spacing w:after="0"/>
              <w:rPr>
                <w:sz w:val="22"/>
                <w:szCs w:val="22"/>
                <w:color w:val="auto"/>
              </w:rPr>
            </w:pPr>
          </w:p>
        </w:tc>
        <w:tc>
          <w:tcPr>
            <w:tcW w:w="560" w:type="dxa"/>
            <w:vAlign w:val="bottom"/>
            <w:vMerge w:val="restart"/>
          </w:tcPr>
          <w:p>
            <w:pPr>
              <w:jc w:val="center"/>
              <w:ind w:right="29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26,000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6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Securities beneficially owned by Arbiter Partners Capital Management LLC ("Arbiter"). Arbiter is a registered investment adviser that manages and/or administers Arbiter Partners QP LP, an affiliated investment fund (the "Fund") as well as certain managed accounts (the "Managed Accounts"). Mr. Isaac controls Arbiter, as well as the Managed Accounts. The securities reported as beneficially owned by Mr. Isaac include the securities beneficially owned by the Fund and the Managed Accounts. Mr. Isaac, Arbiter and the Fund have filed a Statement on Schedule 13G with respect to the common stock of the Issuer. Mr. Isaac disclaims beneficial ownership of these securities for all purposes of Section 16 of the Securities Exchange Act of 1934, as amended, except to the extent of his pecuniary interest therein. Includes 18,531 shares of Common Stock previously transferred into certain Managed Accounts by the beneficiaries thereof from the accounts of such beneficiaries.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jc w:val="both"/>
        <w:ind w:left="40" w:right="500"/>
        <w:spacing w:after="0" w:line="250" w:lineRule="auto"/>
        <w:rPr>
          <w:sz w:val="20"/>
          <w:szCs w:val="20"/>
          <w:color w:val="auto"/>
        </w:rPr>
      </w:pPr>
      <w:r>
        <w:rPr>
          <w:rFonts w:ascii="Arial" w:cs="Arial" w:eastAsia="Arial" w:hAnsi="Arial"/>
          <w:sz w:val="13"/>
          <w:szCs w:val="13"/>
          <w:color w:val="008000"/>
        </w:rPr>
        <w:t>Ross B. Levin, the Director of Research at Arbiter, serves on the board of directors (the "Board") of the Issuer. Mr. Levin does not serve on Board pursuant to any agreement between Arbiter and the Issuer. Accordingly, this Form 4 is being filed as a matter of caution, and without conceding that Mr. Isaac, Arbiter or the Fund is an insider of the Issuer for purposes of Section 16 of the Securities Exchange Act of 1934, as amended.</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Paul J. Isaac</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09/18/2023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3009" TargetMode="External"/><Relationship Id="rId13"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2023-09-18T15:57:03Z</dcterms:created>
  <dcterms:modified xsi:type="dcterms:W3CDTF">2023-09-18T15:57:03Z</dcterms:modified>
</cp:coreProperties>
</file>