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9,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STEREOTAXIS,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b w:val="1"/>
                <w:bCs w:val="1"/>
                <w:color w:val="auto"/>
              </w:rPr>
              <w:t>001-36159</w:t>
            </w:r>
          </w:p>
        </w:tc>
        <w:tc>
          <w:tcPr>
            <w:tcW w:w="22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62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94-3120386</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20" w:type="dxa"/>
            <w:vAlign w:val="bottom"/>
            <w:gridSpan w:val="3"/>
          </w:tcPr>
          <w:p>
            <w:pPr>
              <w:jc w:val="center"/>
              <w:ind w:right="770"/>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662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710 North Tucker Boulevard, Suite 110, St. Louis, Missouri</w:t>
            </w:r>
          </w:p>
        </w:tc>
        <w:tc>
          <w:tcPr>
            <w:tcW w:w="4620" w:type="dxa"/>
            <w:vAlign w:val="bottom"/>
            <w:gridSpan w:val="3"/>
          </w:tcPr>
          <w:p>
            <w:pPr>
              <w:jc w:val="right"/>
              <w:ind w:right="1490"/>
              <w:spacing w:after="0"/>
              <w:rPr>
                <w:sz w:val="20"/>
                <w:szCs w:val="20"/>
                <w:color w:val="auto"/>
              </w:rPr>
            </w:pPr>
            <w:r>
              <w:rPr>
                <w:rFonts w:ascii="Arial" w:cs="Arial" w:eastAsia="Arial" w:hAnsi="Arial"/>
                <w:sz w:val="18"/>
                <w:szCs w:val="18"/>
                <w:b w:val="1"/>
                <w:bCs w:val="1"/>
                <w:color w:val="auto"/>
              </w:rPr>
              <w:t>63101</w:t>
            </w:r>
          </w:p>
        </w:tc>
      </w:tr>
      <w:tr>
        <w:trPr>
          <w:trHeight w:val="230"/>
        </w:trPr>
        <w:tc>
          <w:tcPr>
            <w:tcW w:w="6620" w:type="dxa"/>
            <w:vAlign w:val="bottom"/>
            <w:tcBorders>
              <w:top w:val="single" w:sz="8" w:color="auto"/>
            </w:tcBorders>
            <w:gridSpan w:val="3"/>
          </w:tcPr>
          <w:p>
            <w:pPr>
              <w:jc w:val="center"/>
              <w:ind w:left="730"/>
              <w:spacing w:after="0"/>
              <w:rPr>
                <w:sz w:val="20"/>
                <w:szCs w:val="20"/>
                <w:color w:val="auto"/>
              </w:rPr>
            </w:pPr>
            <w:r>
              <w:rPr>
                <w:rFonts w:ascii="Arial" w:cs="Arial" w:eastAsia="Arial" w:hAnsi="Arial"/>
                <w:sz w:val="18"/>
                <w:szCs w:val="18"/>
                <w:color w:val="auto"/>
                <w:w w:val="92"/>
              </w:rPr>
              <w:t>(Address of Principal Executive Offices)</w:t>
            </w:r>
          </w:p>
        </w:tc>
        <w:tc>
          <w:tcPr>
            <w:tcW w:w="8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314) 678-6100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476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w w:val="91"/>
              </w:rPr>
              <w:t xml:space="preserve">Securities registered pursuant to Section 12(b) of the Act: </w:t>
            </w:r>
            <w:r>
              <w:rPr>
                <w:rFonts w:ascii="MS PGothic" w:cs="MS PGothic" w:eastAsia="MS PGothic" w:hAnsi="MS PGothic"/>
                <w:sz w:val="18"/>
                <w:szCs w:val="18"/>
                <w:color w:val="auto"/>
                <w:highlight w:val="black"/>
                <w:w w:val="91"/>
              </w:rPr>
              <w:t>☐</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24"/>
        </w:trPr>
        <w:tc>
          <w:tcPr>
            <w:tcW w:w="47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Title of each class</w:t>
            </w:r>
          </w:p>
        </w:tc>
        <w:tc>
          <w:tcPr>
            <w:tcW w:w="2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3"/>
              </w:rPr>
              <w:t>STXS</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NYSE American LLC</w:t>
            </w:r>
          </w:p>
        </w:tc>
      </w:tr>
      <w:tr>
        <w:trPr>
          <w:trHeight w:val="209"/>
        </w:trPr>
        <w:tc>
          <w:tcPr>
            <w:tcW w:w="4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68"/>
        </w:trPr>
        <w:tc>
          <w:tcPr>
            <w:tcW w:w="42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260" w:type="dxa"/>
            <w:vAlign w:val="bottom"/>
            <w:shd w:val="clear" w:color="auto" w:fill="000000"/>
          </w:tcPr>
          <w:p>
            <w:pPr>
              <w:spacing w:after="0"/>
              <w:rPr>
                <w:sz w:val="5"/>
                <w:szCs w:val="5"/>
                <w:color w:val="auto"/>
              </w:rPr>
            </w:pPr>
          </w:p>
        </w:tc>
      </w:tr>
      <w:tr>
        <w:trPr>
          <w:trHeight w:val="439"/>
        </w:trPr>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9, 2023, Stereotaxis, Inc. (the “Company”) issued a press release (the “Earnings Press Release”) setting forth its financial results for the 2023 third quarter. A copy of the Earnings Press Release is being filed as Exhibit 99.1 hereto, and the statements contained therein are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 and Additional Information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Statements are made herein or incorporated herein that are “forward-looking statements” as defined by the Securities and Exchange Commission (the “SEC”). All statements, other than statements of historical fact, included or incorporated herein that address activities, events or developments that the Company expects, believes or anticipates will or may occur in the future are forward-looking statements. These statements are not guarantees of future events or the Company’s future performance and are subject to risks, uncertainties and other important factors that could cause events or the Company’s actual performance or achievements to be materially different than those projected by the Company. For a full discussion of these risks, uncertainties and factors, the Company encourages you to read its documents on file with the SEC. Except as required by law, the Company does not intend to update or revise its forward-looking statements, whether as a result of new information, future events or otherwise.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General Instruction B.2. of Form 8-K, the information contained in Item 2.02 and Exhibit 99.1 attached hereto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u w:val="single" w:color="auto"/>
          <w:color w:val="0000EE"/>
        </w:rPr>
        <w:t>Stereotaxis, Inc. Earnings Press Release dated November 9, 2023.</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STEREOTAXIS,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Kimberly R. Peery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171450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Stereotaxis Reports 2023 Third Quarter Financial Results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ST. LOUIS, Nov. 9, 2023 (GLOBE NEWSWIRE) – </w:t>
      </w:r>
      <w:r>
        <w:rPr>
          <w:rFonts w:ascii="Arial" w:cs="Arial" w:eastAsia="Arial" w:hAnsi="Arial"/>
          <w:sz w:val="18"/>
          <w:szCs w:val="18"/>
          <w:u w:val="single" w:color="auto"/>
          <w:color w:val="auto"/>
        </w:rPr>
        <w:t>Stereotaxis</w:t>
      </w:r>
      <w:r>
        <w:rPr>
          <w:rFonts w:ascii="Arial" w:cs="Arial" w:eastAsia="Arial" w:hAnsi="Arial"/>
          <w:sz w:val="18"/>
          <w:szCs w:val="18"/>
          <w:b w:val="1"/>
          <w:bCs w:val="1"/>
          <w:color w:val="auto"/>
        </w:rPr>
        <w:t xml:space="preserve"> </w:t>
      </w:r>
      <w:r>
        <w:rPr>
          <w:rFonts w:ascii="Arial" w:cs="Arial" w:eastAsia="Arial" w:hAnsi="Arial"/>
          <w:sz w:val="18"/>
          <w:szCs w:val="18"/>
          <w:color w:val="auto"/>
        </w:rPr>
        <w:t>(NYSE: STXS), a pioneer and global leader in surgical robotics for minimally invasive</w:t>
      </w:r>
      <w:r>
        <w:rPr>
          <w:rFonts w:ascii="Arial" w:cs="Arial" w:eastAsia="Arial" w:hAnsi="Arial"/>
          <w:sz w:val="18"/>
          <w:szCs w:val="18"/>
          <w:b w:val="1"/>
          <w:bCs w:val="1"/>
          <w:color w:val="auto"/>
        </w:rPr>
        <w:t xml:space="preserve"> </w:t>
      </w:r>
      <w:r>
        <w:rPr>
          <w:rFonts w:ascii="Arial" w:cs="Arial" w:eastAsia="Arial" w:hAnsi="Arial"/>
          <w:sz w:val="18"/>
          <w:szCs w:val="18"/>
          <w:color w:val="auto"/>
        </w:rPr>
        <w:t>endovascular intervention, today reported financial results for the third quarter ended September 30, 2023.</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“Stereotaxis continues to deliver commercial results and advance a robust innovation strategy, while maintaining financial discipline,” said David Fischel, Chairman and CEO. “Revenue growth in the quarter was driven by continued demand for Genesis with revenue recognition of two robotic systems. System revenue growth counteracted the loss of royalties and residual pressure on procedures. A robust system pipeline along with existing system backlog of $13 million supports continued growth in the coming quarters.”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making broad, methodical progress across the late stages of a comprehensive innovation strategy. Approval to enroll patients in a European clinical study of the MAGiC ablation catheter is expected within weeks. In the US, we determined it reasonable to submit a PMA Supplement for MAGiC and plan to make the regulatory submission prior to year-end. This approach holds the potential to significantly accelerate availability of MAGiC to physicians and patients who would benefit from it. Our collaborations with Abbott and MicroPort, and internal development of a next-generation highly-accessible robot, vascular interventional devices, and a digital surgery solution, continue to make meaningful progress. We remain confident these collectively drive a strategic transformation that makes robotics broadly accessible and impactful across endovascular surgery.”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“Reduced cash utilization reflects continued attention to financial discipline and benefits from the significant build up in inventory in previous quarters. We remain cognizant of the importance of maintaining financial strength and are confident in our ability to realize our innovation strategy with our current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Third Quarter Financial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third quarter of 2023 totaled $7.8 million, compared to $7.7 million in the prior year third quarter. System revenue for the quarter was $3.5 million and recurring revenue was $4.3 million, compared to $2.4 million and $5.3 million in the prior year third quarter, respectively. System revenue growth reflects revenue recognition on the delivery of two Genesis systems. Recurring revenue was impacted by the absence of catheter royalties received in the prior year.</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margin for the third quarter of 2023 was 52% of revenue. Recurring revenue gross margin was 80% and system gross margin was 18%. Operating expenses in the third quarter of $9.7 million include $2.6 million in non-cash stock compensation expense. Excluding non-cash stock compensation expense, adjusted operating expenses in the current quarter were $7.1 million compared to $6.9 million in the prior year third quarter.</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and net loss for the third quarter of 2023 were ($5.6) million and ($5.4) million, respectively, compared to ($5.1) million and ($4.9) million in the previous year. Adjusted operating loss and adjusted net loss for the quarter, excluding non-cash stock compensation expense, were ($3.0) million and ($2.8) million, respectively, compared to ($2.4) million and ($2.2) million in the previous year. Negative free cash flow for the third quarter was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Cash Balance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Stereotaxis had cash and cash equivalents, including restricted cash, of $23.0 million and no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Expectations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Stereotaxis expects continued revenue growth in the coming quarters driven by revenue recognition of system backlog and new system orders. Accelerating revenue growth in subsequent years is expected to be supported by new technology launches.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Stereotaxis expects to end the year with $22 million in cash and no debt. This balance sheet allows us to advance a transformative product ecosystem to market, fund its commercialization, and reach profitability without the need for additional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and Webcast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Stereotaxis will host a conference call and webcast today, November 9, 2023, at 10:00 a.m. Eastern Time. To access the conference call, dial 1-800-715-9871 (US and Canada) or 1-646-307-1963 (International) and give the participant pass code 3519052. Participants are asked to call 5-10 minutes prior to the start time. To access the live and replay webcast, please visit the investor relations section of the Stereotaxis website at https://ir.stereotaxis.com/.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Stereotaxis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Stereotaxis (NYSE: STXS) is a pioneer and global leader in innovative surgical robotics for minimally invasive endovascular intervention. Its mission is the discovery, development and delivery of robotic systems, instruments, and information solutions for the interventional laboratory. These innovations help physicians provide unsurpassed patient care with robotic precision and safety, expand access to minimally invasive therapy, and enhance the productivity, connectivity, and intelligence in the operating room. Stereotaxis technology has been used to treat over 100,000 patients across the United States, Europe, Asia, and elsewhere. For more information, please visit </w:t>
      </w:r>
      <w:r>
        <w:rPr>
          <w:rFonts w:ascii="Arial" w:cs="Arial" w:eastAsia="Arial" w:hAnsi="Arial"/>
          <w:sz w:val="17"/>
          <w:szCs w:val="17"/>
          <w:u w:val="single" w:color="auto"/>
          <w:color w:val="auto"/>
        </w:rPr>
        <w:t>www.Stereotaxis.com</w:t>
      </w:r>
      <w:r>
        <w:rPr>
          <w:rFonts w:ascii="Arial" w:cs="Arial" w:eastAsia="Arial" w:hAnsi="Arial"/>
          <w:sz w:val="17"/>
          <w:szCs w:val="17"/>
          <w:color w:val="auto"/>
        </w:rPr>
        <w: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press release includes statements that may constitute “forward-looking” statements, usually containing the words “believe”, “estimate”, “project”, “expect” or similar expressions. Forward-looking statements inherently involve risks and uncertainties that could cause actual results to differ materially. Factors that would cause or contribute to such differences include, but are not limited to, the Company’s ability to manage expenses at sustainable levels, acceptance of the Company’s products in the marketplace, the effect of global economic conditions on the ability and willingness of customers to purchase its technology, competitive factors, changes resulting from healthcare policy, dependence upon third-party vendors, timing of regulatory approvals, the impact of pandemics or other disasters, and other risks discussed in the Company’s periodic and other filings with the Securities and Exchange Commission. By making these forward-looking statements, the Company undertakes no obligation to update these statements for revisions or changes after the date of this release. There can be no assurance that the Company will recognize revenue related to its purchase orders and other commitments because some of these purchase orders and other commitments are subject to contingencies that are outside of the Company’s control and may be revised, modified, delayed, or canceled.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L. Fischel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Kimberly R. Peery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314-678-6100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Investors@Stereotaxis.com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STEREOTAXIS,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vMerge w:val="restart"/>
          </w:tcPr>
          <w:p>
            <w:pPr>
              <w:spacing w:after="0"/>
              <w:rPr>
                <w:sz w:val="20"/>
                <w:szCs w:val="20"/>
                <w:color w:val="auto"/>
              </w:rPr>
            </w:pPr>
            <w:r>
              <w:rPr>
                <w:rFonts w:ascii="Arial" w:cs="Arial" w:eastAsia="Arial" w:hAnsi="Arial"/>
                <w:sz w:val="18"/>
                <w:szCs w:val="18"/>
                <w:i w:val="1"/>
                <w:iCs w:val="1"/>
                <w:color w:val="auto"/>
                <w:w w:val="97"/>
              </w:rPr>
              <w:t>(in thousands, except share and per share amounts)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10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3000" w:type="dxa"/>
            <w:vAlign w:val="bottom"/>
            <w:gridSpan w:val="6"/>
          </w:tcPr>
          <w:p>
            <w:pPr>
              <w:jc w:val="right"/>
              <w:ind w:right="88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0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40"/>
              <w:spacing w:after="0"/>
              <w:rPr>
                <w:sz w:val="20"/>
                <w:szCs w:val="20"/>
                <w:color w:val="auto"/>
              </w:rPr>
            </w:pPr>
            <w:r>
              <w:rPr>
                <w:rFonts w:ascii="Arial" w:cs="Arial" w:eastAsia="Arial" w:hAnsi="Arial"/>
                <w:sz w:val="18"/>
                <w:szCs w:val="18"/>
                <w:color w:val="auto"/>
              </w:rPr>
              <w:t>Systems</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3,539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2,413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8,673</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Disposables, service and accessories</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4,260</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5,244</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13,533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7,799</w:t>
            </w:r>
          </w:p>
        </w:tc>
        <w:tc>
          <w:tcPr>
            <w:tcW w:w="3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7,657</w:t>
            </w: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22,206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20,846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Systems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2,909</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7,309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37"/>
        </w:trPr>
        <w:tc>
          <w:tcPr>
            <w:tcW w:w="4080" w:type="dxa"/>
            <w:vAlign w:val="bottom"/>
          </w:tcPr>
          <w:p>
            <w:pPr>
              <w:ind w:left="240"/>
              <w:spacing w:after="0"/>
              <w:rPr>
                <w:sz w:val="20"/>
                <w:szCs w:val="20"/>
                <w:color w:val="auto"/>
              </w:rPr>
            </w:pPr>
            <w:r>
              <w:rPr>
                <w:rFonts w:ascii="Arial" w:cs="Arial" w:eastAsia="Arial" w:hAnsi="Arial"/>
                <w:sz w:val="18"/>
                <w:szCs w:val="18"/>
                <w:color w:val="auto"/>
              </w:rPr>
              <w:t>Disposables, service and accessories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831</w:t>
            </w:r>
          </w:p>
        </w:tc>
        <w:tc>
          <w:tcPr>
            <w:tcW w:w="48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1,074</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4,059</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4,567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12,122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14,161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2,668</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2,818</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8,061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3,097</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3,111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9,585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9,337</w:t>
            </w: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3,933</w:t>
            </w:r>
          </w:p>
        </w:tc>
        <w:tc>
          <w:tcPr>
            <w:tcW w:w="48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3,690</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11,011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(5,639)</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(5,052)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(16,535)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270</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loss</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(5,369)</w:t>
            </w:r>
          </w:p>
        </w:tc>
        <w:tc>
          <w:tcPr>
            <w:tcW w:w="3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(4,917)</w:t>
            </w: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(15,673)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(14,138)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Cumulative dividend on convertible preferred stock</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(338)</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(339)</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56"/>
        </w:trPr>
        <w:tc>
          <w:tcPr>
            <w:tcW w:w="4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(5,256</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w w:val="94"/>
              </w:rPr>
              <w:t>Net loss per share attributed to common stockholders: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(0.07)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(0.21)</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(0.07)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(0.21)</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common shares and</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equivalents:</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82,468,971</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76,100,007</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80,028,243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75,977,920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82,468,971</w:t>
            </w:r>
          </w:p>
        </w:tc>
        <w:tc>
          <w:tcPr>
            <w:tcW w:w="48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76,100,007</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80,028,243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75,977,920</w:t>
            </w:r>
          </w:p>
        </w:tc>
        <w:tc>
          <w:tcPr>
            <w:tcW w:w="0" w:type="dxa"/>
            <w:vAlign w:val="bottom"/>
          </w:tcPr>
          <w:p>
            <w:pPr>
              <w:spacing w:after="0"/>
              <w:rPr>
                <w:sz w:val="1"/>
                <w:szCs w:val="1"/>
                <w:color w:val="auto"/>
              </w:rPr>
            </w:pPr>
          </w:p>
        </w:tc>
      </w:tr>
      <w:tr>
        <w:trPr>
          <w:trHeight w:val="425"/>
        </w:trPr>
        <w:tc>
          <w:tcPr>
            <w:tcW w:w="4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 w:name="page7"/>
    <w:bookmarkEnd w:id="6"/>
    <w:p>
      <w:pPr>
        <w:ind w:left="4760"/>
        <w:spacing w:after="0"/>
        <w:rPr>
          <w:sz w:val="20"/>
          <w:szCs w:val="20"/>
          <w:color w:val="auto"/>
        </w:rPr>
      </w:pPr>
      <w:r>
        <w:rPr>
          <w:rFonts w:ascii="Arial" w:cs="Arial" w:eastAsia="Arial" w:hAnsi="Arial"/>
          <w:sz w:val="18"/>
          <w:szCs w:val="18"/>
          <w:b w:val="1"/>
          <w:bCs w:val="1"/>
          <w:color w:val="auto"/>
        </w:rPr>
        <w:t>STEREOTAXIS, INC.</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share amounts)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22,100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Restricted cash - current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19,844</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w w:val="95"/>
              </w:rPr>
              <w:t>Accounts receivable, net of allowance of $596 and $235 at 2023 and 2022, respectively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5,246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5,086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non-current assets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6"/>
        </w:trPr>
        <w:tc>
          <w:tcPr>
            <w:tcW w:w="68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44,528</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53,413</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3,243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16"/>
        </w:trPr>
        <w:tc>
          <w:tcPr>
            <w:tcW w:w="68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6,216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13,032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14,291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5,173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20,230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21,484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Series A - Convertible preferred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Convertible preferred stock, Series A, par value $0.001; 22,383 shares outstanding at 2023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2022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Convertible preferred stock, Series B, par value $0.001; 10,000,000 shares authorized,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5,610,121 shares outstanding at 2022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rPr>
              <w:t>Common stock, par value $0.001; 300,000,000 shares authorized, 80,873,295 and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74,874,459 shares issued at 2023 and 2022,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551,480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543,438</w:t>
            </w:r>
          </w:p>
        </w:tc>
        <w:tc>
          <w:tcPr>
            <w:tcW w:w="0" w:type="dxa"/>
            <w:vAlign w:val="bottom"/>
          </w:tcPr>
          <w:p>
            <w:pPr>
              <w:spacing w:after="0"/>
              <w:rPr>
                <w:sz w:val="1"/>
                <w:szCs w:val="1"/>
                <w:color w:val="auto"/>
              </w:rPr>
            </w:pPr>
          </w:p>
        </w:tc>
      </w:tr>
      <w:tr>
        <w:trPr>
          <w:trHeight w:val="216"/>
        </w:trPr>
        <w:tc>
          <w:tcPr>
            <w:tcW w:w="6860" w:type="dxa"/>
            <w:vAlign w:val="bottom"/>
          </w:tcPr>
          <w:p>
            <w:pPr>
              <w:ind w:left="240"/>
              <w:spacing w:after="0"/>
              <w:rPr>
                <w:sz w:val="20"/>
                <w:szCs w:val="20"/>
                <w:color w:val="auto"/>
              </w:rPr>
            </w:pPr>
            <w:r>
              <w:rPr>
                <w:rFonts w:ascii="Arial" w:cs="Arial" w:eastAsia="Arial" w:hAnsi="Arial"/>
                <w:sz w:val="18"/>
                <w:szCs w:val="18"/>
                <w:color w:val="auto"/>
              </w:rPr>
              <w:t>Treasury stock, 4,015 shares at 2023 and 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9"/>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(532,640)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(516,967)</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18,715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26,346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2023-11-09T08:10:42Z</dcterms:created>
  <dcterms:modified xsi:type="dcterms:W3CDTF">2023-11-09T08:10:42Z</dcterms:modified>
</cp:coreProperties>
</file>