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tabs>
          <w:tab w:leader="none" w:pos="44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448945</wp:posOffset>
            </wp:positionV>
            <wp:extent cx="1448435" cy="1019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STEREOTAXIS,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710 North Tucker Boulevard</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Suite 110</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 Louis, Missouri 63101</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(314) 678-6100</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April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Shareholders on Wednesday, May 15, 2024, at 10:00 a.m. (Central Daylight Time) at our Company headquarters at 710 North Tucker Boulevard, Suite 110, in St. Louis, Missouri 63101.</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about the meeting are described in the Notice of Internet Availability of Proxy Materials you received in the mail and in this proxy statement. We have also made a copy of our 2023 Annual Report on Form 10-K and this proxy statement available on the Internet. Whether or not you plan to attend the meeting, we encourage you to read our 2023 Annual Report and this proxy statement and to vote your shares.</w:t>
      </w:r>
    </w:p>
    <w:p>
      <w:pPr>
        <w:spacing w:after="0" w:line="3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is very important to us. Most shareholders hold their shares in street name through a broker and may vote by using the Internet, by telephone or by mail. If your shares are held in the name of a bank, broker, or other holder of record, you must present proof of your ownership, such as a bank or brokerage account statement, to be admitted to the meeting and if you plan to vote your shares in person at the meeting, you must obtain a proxy, executed in your favor, from your bank or broker. All shareholders must also present a form of personal identification in order to be admitted to the meeting.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entire Board, I thank you for your continued support and look forward to seeing you at the meeting.</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L. Fischel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448945</wp:posOffset>
            </wp:positionV>
            <wp:extent cx="1448435" cy="1019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843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STEREOTAXIS,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710 North Tucker Boulevard</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Suite 110</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 Louis, Missouri 63101</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(314) 678-6100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ANNUAL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4, 2024</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Stereotaxis, Inc. will be held at our principal executive offices located at 710 North Tucker Boulevard, Suite 110; St. Louis, Missouri 63101, on Wednesday, May 15, 2024, at 10:00 a.m. (Central Daylight Time) for the following purposes:</w:t>
      </w:r>
    </w:p>
    <w:p>
      <w:pPr>
        <w:spacing w:after="0" w:line="162"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(1) Class II director to serve until the 2027 Annual Meeting and until, at the election of the Company, his successor is duly elected and qualified;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fiscal year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Stereotaxis, Inc. 2022 Stock Incentive Plan (“2022 Stock Incentive Plan”) to increase the number of shares of common stock authorized for issuance thereunder by 4,000,000 shares (“2022 Stock Incentive Plan Amendment”);</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2022 Employee Stock Purchase Plan (“ESPP”) to increase the number of shares of common stock authorized for issuance thereunder by 250,000 shares (“ESPP Amendment”);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fixed Monday, March 18, 2024, as the date of record for the meeting, and only shareholders of record at the close of business on that date will be entitled to vote at the meeting or any adjournment thereof.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began sending to all shareholders of record a Notice of Internet Availability of Proxy Materials on April 4, 2024. Please note that our Annual Report on Form 10-K for the fiscal year ended December 31, 2023, is available for viewing on the Internet. Please refer to the instructions on the Notice of Internet Availability of Proxy Materials you received in the mail.</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STEREOTAXIS, INC.</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Laura Spencer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Laura Spencer Garth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4, 2024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IMPORTANT NOTICE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Vote Your Shares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THE ANNUAL MEETING</w:t>
            </w:r>
          </w:p>
        </w:tc>
        <w:tc>
          <w:tcPr>
            <w:tcW w:w="1380" w:type="dxa"/>
            <w:vAlign w:val="bottom"/>
            <w:shd w:val="clear" w:color="auto" w:fill="CCEEFF"/>
          </w:tcPr>
          <w:p>
            <w:pPr>
              <w:jc w:val="center"/>
              <w:ind w:left="9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THE BOARD OF DIRECTORS</w:t>
            </w:r>
          </w:p>
        </w:tc>
        <w:tc>
          <w:tcPr>
            <w:tcW w:w="1380" w:type="dxa"/>
            <w:vAlign w:val="bottom"/>
            <w:shd w:val="clear" w:color="auto" w:fill="CCEEFF"/>
          </w:tcPr>
          <w:p>
            <w:pPr>
              <w:jc w:val="center"/>
              <w:ind w:left="9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 INFORMATION</w:t>
            </w:r>
          </w:p>
        </w:tc>
        <w:tc>
          <w:tcPr>
            <w:tcW w:w="1380" w:type="dxa"/>
            <w:vAlign w:val="bottom"/>
            <w:shd w:val="clear" w:color="auto" w:fill="CCEEFF"/>
          </w:tcPr>
          <w:p>
            <w:pPr>
              <w:jc w:val="center"/>
              <w:ind w:left="97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6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Executive Compensation Summary and Analysis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6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Summary Compensation Table</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6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Outstanding Equity Awards at Fiscal Year-End</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6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Pay versus Performance</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6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Securities Authorized for Issuance under Equity Compensation Plans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AUDIT COMMITTEE</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INDEPENDENT REGISTERED PUBLIC ACCOUNTANTS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3: APPROVAL OF AN AMENDMENT TO THE STEREOTAXIS, INC. 2022 STOCK INCENTIVE PLAN</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4: APPROVAL OF AN AMENDMENT TO THE 2022 EMPLOYEE STOCK PURCHASE PLAN</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 INFORMATION</w:t>
            </w:r>
          </w:p>
        </w:tc>
        <w:tc>
          <w:tcPr>
            <w:tcW w:w="138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APPENDIX A</w:t>
            </w:r>
          </w:p>
        </w:tc>
        <w:tc>
          <w:tcPr>
            <w:tcW w:w="13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w w:val="99"/>
              </w:rPr>
              <w:t>A-1</w:t>
            </w:r>
          </w:p>
        </w:tc>
      </w:tr>
      <w:tr>
        <w:trPr>
          <w:trHeight w:val="216"/>
        </w:trPr>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APPENDIX B</w:t>
            </w:r>
          </w:p>
        </w:tc>
        <w:tc>
          <w:tcPr>
            <w:tcW w:w="13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B-1</w:t>
            </w:r>
          </w:p>
        </w:tc>
      </w:tr>
      <w:tr>
        <w:trPr>
          <w:trHeight w:val="439"/>
        </w:trPr>
        <w:tc>
          <w:tcPr>
            <w:tcW w:w="1060" w:type="dxa"/>
            <w:vAlign w:val="bottom"/>
            <w:tcBorders>
              <w:top w:val="single" w:sz="8" w:color="0000EE"/>
              <w:bottom w:val="single" w:sz="8" w:color="auto"/>
            </w:tcBorders>
            <w:gridSpan w:val="2"/>
          </w:tcPr>
          <w:p>
            <w:pPr>
              <w:spacing w:after="0"/>
              <w:rPr>
                <w:sz w:val="24"/>
                <w:szCs w:val="24"/>
                <w:color w:val="auto"/>
              </w:rPr>
            </w:pPr>
          </w:p>
        </w:tc>
        <w:tc>
          <w:tcPr>
            <w:tcW w:w="5680" w:type="dxa"/>
            <w:vAlign w:val="bottom"/>
            <w:tcBorders>
              <w:top w:val="single" w:sz="8" w:color="CCEEFF"/>
              <w:bottom w:val="single" w:sz="8" w:color="auto"/>
            </w:tcBorders>
            <w:gridSpan w:val="19"/>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Why am I receiving these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Stereotaxis, Inc. (the “Company”) is soliciting proxies from the Company’s shareholders in connection with its 2024 Annual Meeting of Shareholders to be held on May 15, 2024, and any and all adjournments and postponements thereof. You are encouraged to vote on the proposals presented in these proxy materials. You are invited to attend the Annual Meeting, but you do not have to attend to vote.</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When and where is the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presently intend to hold the Annual Meeting of Shareholders on Wednesday, May 15, 2024, at 10:00 a.m. Central Daylight Time, at our principal executive offices located at 710 North Tucker Boulevard, Suite 110, St. Louis, MO 63101.</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Why did I receive a notice in the mail regarding the Internet availability of proxy materials instead of a full set of proxy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(the “SEC”), we may furnish proxy materials, including this proxy statement and our 2023 Annual Report on Form 10-K, to our shareholders by providing access to such documents on the Internet instead of mailing printed copies. Most shareholders will not receive printed copies of the proxy materials unless they request them. Instead, the Notice, which was mailed to most of our shareholders, will instruct you as to how you may access and review all of the proxy materials on the Internet. The Notice also instructs you as to how you may submit your proxy on the Internet. If you would like to receive a paper or email copy of our proxy materials, you should follow the instructions for requesting such materials in the Notice.</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How do I get electronic access to the proxy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will provide you with instructions regarding how to view our proxy materials for the Annual Meeting on the Internet.</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Who is entitled to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entitled to vote if you were a shareholder of record of shares of our common stock or Series A Convertible Preferred Stock at the close of business on Monday, March 18, 2024 (the “Record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18, 2024, there were 82,128,762 shares of our common stock and 21,908 shares of our Series A Convertible Preferred Stock outstanding and entitled to vote, subject to specified beneficial ownership limitations in the case of the Series A Convertible Preferred Stock.</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How many votes do I have?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common stock that you own entitles you to one vote. On the Record Date, there were a total of 82,128,762 shares of common stock outstanding. As of the Record Date, each share of our Series A Convertible Preferred Stock is convertible into 2,228 shares of our common stock and is entitled to one vote for each share of common stock into which it is convertible, subject to specified beneficial ownership limitations. On the Record Date there were 21,908 shares of Series A Convertible Preferred Stock outstanding, entitling the holders of those shares to an aggregate of 22,094,988 votes. Accordingly, on the Record Date, the holders of our common stock and Series A Convertible Preferred Stock are entitled to an aggregate of 104,223,750 votes in respect of such shares of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am I being asked to vote 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asking our shareholders to (1) elect one Class II director to serve until the 2027 Annual Meeting and until, at the election of the Company, his successor is duly elected and qualified; (2) ratify the appointment of Ernst &amp; Young LLP as our independent registered public accounting firm for the 2024 fiscal year; (3) approve an amendment to the Stereotaxis, Inc. 2022 Stock Incentive Plan (“2022 Stock Incentive Plan”) increase the number of shares of common stock authorized for issuance thereunder by 4,000,000 shares (“2022 Stock Incentive Plan Amendment”); (4) approve an amendment to the Employee Stock Purchase Plan (“ESPP”) to increase the number of shares of common stock authorized for issuance thereunder by 250,000 shares (“ESPP Amendment”); and (5) transact such other business as may properly come before the meeting.</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do I do if my shares of common stock are held in “street name” at a bank or brokerage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broker-dealer, trust or other similar organization, like the vast majority of our shareholders, you are considered the beneficial owner of shares held in “street name”, and the Notice was forwarded to you by that organization. As the beneficial owner, you have the right to direct your broker, bank, trustee, or nominee how to vote your shares, and you are invited to attend the Annual Meeting.</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How do I vote?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or not you expect to be present in person at the Annual Meeting, you are requested to vote your shares. Most shareholders will be able to choose whether they wish to vote using the Internet, by telephone or by mail. The availability of Internet voting or telephone voting for shareholders whose shares are held in “street name” by a bank or a broker may depend on the voting processes of that organization. If you vote using the Internet, you may incur costs such as telephone and Internet access charges for which you will be responsible. Internet and telephone voting facilities will be available 24 hours a day and will close at 11:59 p.m., Eastern Daylight Time, on May 14, 2024, the day before the date of the Annual Meeting. If you hold your shares directly as a shareholder of record and you attend the meeting, you may vote by ballot. If you hold your shares in street name through a bank or broker and you wish to vote at the meeting, you must obtain a proxy, executed in your favor, from your bank or broker.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you hold shares directly as the shareholder of record or beneficially in street name, you may direct how your shares are voted without attending the Annual Meeting. If you are a shareholder of record, you may vote by proxy. You can vote by proxy over the Internet by following the instructions provided in the Notice or if you requested to receive printed proxy materials, you can also vote by mail, telephone, or the Internet pursuant to instructions provided on the proxy card. If you hold shares beneficially in street name, you may vote by proxy over the Internet by following the instructions provided in the Notice, or, if you requested to receive printed proxy materials, you can also vote by following the voting instruction card provided to you by your broker, bank, trustee, or nominee.</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if I want to change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shareholder of record, you can revoke your proxy at any time before it is voted at the Annual Meeting by:</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delivering a properly executed, later-dated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later vote by Internet or telephone any time prior to 11:59 p.m., Eastern Daylight Time, on May 14,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of your proxy to our Secretary at our principal executive offices;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ballot at the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bank or brokerage firm, you may change your vote by submitting new voting instructions to your bank or broker following the instructions that they provide.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vote of the shareholders is needed?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business can be conducted at the Annual Meeting unless a majority of the outstanding shares of common stock entitled to vote is present in person or represented by proxy at the meeting. Each share of our common stock is entitled to one vote with respect to each matter on which it is entitled to vote. Each share of Series A Convertible Preferred Stock is entitled to one vote on an as-converted basis, subject to specified beneficial ownership limitations applicable to the holders of the Series A Convertible Preferred Stock. A plurality of the shares entitled to vote and present in person or by proxy at the meeting must be voted “FOR” a director nominee. A majority of shares entitled to vote and present in person or by proxy at the meeting must be voted “FOR” the ratification of Ernst &amp; Young LLP as our independent registered public accounting firm for the 2024 fiscal year, “FOR” the Stock Incentive Plan Amendment to provide that an additional 4,000,000 shares of common stock of the Company be made available for issuance under the Stock Incentive Plan for awards to participants, and “FOR” the ESPP Amendment to provide that an additional 250,000 shares of common stock of the Company be made available for issuance under the ESPP for awards to participants.</w:t>
      </w:r>
    </w:p>
    <w:p>
      <w:pPr>
        <w:spacing w:after="0" w:line="184" w:lineRule="exact"/>
        <w:rPr>
          <w:sz w:val="20"/>
          <w:szCs w:val="20"/>
          <w:color w:val="auto"/>
        </w:rPr>
      </w:pPr>
    </w:p>
    <w:p>
      <w:pPr>
        <w:ind w:left="340" w:hanging="332"/>
        <w:spacing w:after="0" w:line="286" w:lineRule="auto"/>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request a paper copy of proxy material and return my signed proxy card but forget to indicate how I want my shares of common stock voted?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sign, date and return your proxy and do not mark how you want to vote, your proxy will be counted as a vote “FOR” all of the nominees for directors, “FOR” the ratification of our independent registered public accounting firm, “FOR” the approval of the 2022 Stock Incentive Plan Amendment to increase the number of shares of common stock authorized for issuance under the Stock Incentive Plan by 4,000,000 shares, “FOR” the approval of the ESPP Amendment to increase the number of shares of common stock authorized for issuance under the ESPP by 250,000 shares, and in the discretion of the proxy holders for such other business as may properly come before the meeting.</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happens if I do not instruct my broker how to vote or if I indicate I wish to “abstain” on the proxy?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hold shares in street name through a broker or other nominee and do not vote your shares or provide voting instructions, your broker may vote for you on “routine” proposals but not on “non-routine” proposals. Rules of the New York Stock Exchange (“NYSE”) determine whether proposals are routine or non-routine. Therefore, if you do not vote on the non-routine proposals or provide voting instructions, your broker will not be allowed to vote your shares on these matters. This will result in a “broker non-vote”. Broker non-votes are not counted as shares present and entitled to vote so they will not affect the outcome of the vote.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expect that the following proposal will be considered “routine” under applicable NYSE rules: Proposal 2 (the ratification of Ernst &amp; Young LLP as the Company’s independent registered public accountants). Accordingly, if you do not provide voting instructions to your broker, we expect that your broker </w:t>
      </w:r>
      <w:r>
        <w:rPr>
          <w:rFonts w:ascii="Times New Roman" w:cs="Times New Roman" w:eastAsia="Times New Roman" w:hAnsi="Times New Roman"/>
          <w:sz w:val="18"/>
          <w:szCs w:val="18"/>
          <w:b w:val="1"/>
          <w:bCs w:val="1"/>
          <w:color w:val="auto"/>
        </w:rPr>
        <w:t xml:space="preserve">will be permitted </w:t>
      </w:r>
      <w:r>
        <w:rPr>
          <w:rFonts w:ascii="Times New Roman" w:cs="Times New Roman" w:eastAsia="Times New Roman" w:hAnsi="Times New Roman"/>
          <w:sz w:val="18"/>
          <w:szCs w:val="18"/>
          <w:color w:val="auto"/>
        </w:rPr>
        <w:t>to vote your shares on this proposal, but all of our other proposals are “non-routine”. Therefore, if you do not vote on the non-routine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proposals or provide voting instructions, your broker </w:t>
      </w:r>
      <w:r>
        <w:rPr>
          <w:rFonts w:ascii="Times New Roman" w:cs="Times New Roman" w:eastAsia="Times New Roman" w:hAnsi="Times New Roman"/>
          <w:sz w:val="18"/>
          <w:szCs w:val="18"/>
          <w:b w:val="1"/>
          <w:bCs w:val="1"/>
          <w:color w:val="auto"/>
        </w:rPr>
        <w:t>will not be allowed</w:t>
      </w:r>
      <w:r>
        <w:rPr>
          <w:rFonts w:ascii="Times New Roman" w:cs="Times New Roman" w:eastAsia="Times New Roman" w:hAnsi="Times New Roman"/>
          <w:sz w:val="18"/>
          <w:szCs w:val="18"/>
          <w:color w:val="auto"/>
        </w:rPr>
        <w:t xml:space="preserve"> to vote your shares. This will result in a broker non-vote. Broker non-votes are not counted as shares present and entitled to vote so they will not affect the outcome of the 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indicate that you wish to “abstain,” your vote will have the same effect as a vote against the proposal or the election of the applicable director.</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if other matters are voted on at the Annual Meeting?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and you have voted your shares by Internet, telephone or mail, the persons named as proxies in your proxy will have the discretion to vote on those matters for you. As of the date we filed this proxy statement with the Securities and Exchange Commission, the Board of Directors did not know of any other matter to be presented at the Annual Meeting.</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do I need to do if I plan to attend the meeting in person?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shareholders must present a form of personal identification to be admitted to the meeting. If your shares are held in the name of a bank, broker, or other holder of record, you also must present proof of your ownership, such as a bank or brokerage account statement, to be admitted to the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directors set by the Board is nine. The directors are distributed among three staggered classes (Classes I, II and III), of three directors each. At each annual meeting of shareholders, a class of directors is elected for a term of three years to succeed the class of directors whose terms are then expiring. The terms of the Class I, II and III Directors will expire upon the election and qualification of successor directors at the annual meeting of shareholders to be held this year for the Class II Directors, in 2025 for the Class III Directors, and in 2026 for the Class I Directors, or upon their earlier death, resignation or removal.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David L. Fischel, who was appointed to the Board as a Class II Director in September 2016 and who became our Chief Executive Officer in February 2017, is a nominee as a Class II Director at the 2024 Annual Meeting for reelection to a three-year term expiring in 2027. Following a request by current Class II director Robert J. Messey to not be renominated for election to the Board, the Board has determined not to renominate Mr. Messey. Mr. Messey’s request to not be renominated is not a result of any disagreements with the Company. In addition, there are currently two vacancies on the Board, one vacancy in Class II and one vacancy in Class III. Under the terms of our restated certificate of incorporation and bylaws, the Board of Directors may fill these vacancies at any time. The Board will make a determination in the coming months to fill the vacancy resulting from the conclusion of Mr. Messey’s term with a new qualified director.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the name, age, and business experience of each of the continuing directors and nominees of the Company, including the specific experience, qualifications, attributes, or skills that led to the conclusion that such person should serve as a director. Dr. Nathan Fischel is the father of David L. Fischel, our Chief Executive Officer and Chairman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to the Board at the 2024 Annual Meeting to serve a three-year term until the 2027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L. Fischel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 of the Board since February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September 2016</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Fischel, 37, has served as Chairman and CEO of Stereotaxis since 2017, leading the Company’s efforts to return to financial health, drive commercial growth, and advance a comprehensive innovation strategy. He has served for over ten years as Principal and portfolio manager for medical device investments at DAFNA Capital Management, LLC. Prior to joining DAFNA Capital, he was a research analyst at SCP Vitalife, a healthcare venture capital fund. Mr. Fischel completed his B.S. magna cum laude in Applied Mathematics with a minor in Accounting at the University of California at Los Angeles and received his MBA from Bar-Ilan University in Tel Aviv. He is a Certified Public Accountant, Chartered Financial Analyst and Chartered Alternative Investment Analyst. Mr. Fischel’s extensive understanding of our business, operations and strategy, as well as financial and medical device industry experience, enable him to make valuable contributions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(terms expiring at the 2025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Nathan Fischel, M.D.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February 2017</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 Fischel, 68, is the Founder and CEO of DAFNA Capital Management, LLC. DAFNA Capital is an SEC registered investment advisor with a highly successful investment track record of over 25 years focused on innovations in biotechnology and medical devices. Dr. Fischel was Professor of Pediatrics at UCLA School of Medicine and attending physician in Pediatric Hematology and Oncology at Cedars-Sinai Medical Center in Los Angeles. He has published over 120 peer-reviewed scientific and medical manuscripts and book chapters, has been the principal investigator of multiple National Institutes of Health (“NIH”) funded research grants, has served repeatedly on internal and external review panels at the NIH, and was appointed by the U.S. Secretary of Health and Human Services to serve for four years on the Advisory Council of one of the NIH’s institutes. Dr. Fischel received his M.D. from the Technion Israel Institute of Technology and served his internship year at Hadassah Hospital in Jerusalem. He completed his residency and fellowship in Pediatrics and Pediatric Hematology and Oncology at the Children’s Hospital and the Dana-Farber Cancer Institute, Harvard Medical School in Boston, and his postgraduate research training in Molecular Genetics at Oxford University in England. Dr. Fischel’s experience as a physician enables him to provide critical perspectives regarding our technologies and commercial adoption of our products, and his extensive knowledge of medical device companies allows him to provide insight to the Board on strategic decisions.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Ross B. Levin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July 2018</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Levin, 40, is the Director of Research for Arbiter Partners Capital Management LLC and a principal in the firm. Mr. Levin is a former board member of Capital Senior Living Corporation, Mood Media Corporation, American Community Properties Trust and Presidential Life Corporation. Mr. Levin is also chairman of the board of directors of Constructive Partnerships Unlimited, a non-profit organization providing services and programs for people with developmental disabilities, and former vice chairman of the board of the Cerebral Palsy Associations of New York State. Mr. Levin is a member of the New York Society of Securities Analysts and a CFA charter holder. Mr. Levin holds a Bachelor of Science degree in Management with a concentration in Finance from the A.B. Freeman School of Business at Tulane University and has completed the Investment Decisions and Behavioral Finance program at the John F. Kennedy School of Government at Harvard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(terms expiring at the 2026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 Benfer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February 2005</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Benfer, 77, has served as the chairman of The Benfer Group LLC, which provides advisory services to healthcare providers and suppliers, since 2010. From 1999 to 2009, Mr. Benfer served as president and chief executive officer of Saint Raphael Healthcare System and the Hospital of Saint Raphael, New Haven, Connecticut. Prior to that, he was the president and chief executive officer of the Provena-Saint Joseph/Morris Health Network in Joliet, Illinois from 1992 to 1999. Mr. Benfer served as senior vice president for Hospital and Urban Affairs for the Henry Ford Health System in Detroit and chief executive officer of the Henry Ford Hospital from 1985 to 1992. He served as the chairman of the American College of Healthcare Executives (ACHE) from 1998 to 1999 and on its board of governors from 1992 to 2000. Mr. Benfer was named a Fellow of ACHE in 1981 and served on the board of the Catholic Health Association from 2003 until 2008. He earned his M.B.A. from Xavier University and his B.S.B.A. from Wittenburg University. Mr. Benfer’s extensive experience in the healthcare industry and in hospital management provides the Company with useful industry information related to technology acquisition, governance, and risk and liability issues. Mr. Benfer serves on the Board of The John and Mable Ringling Museum of Art Foundation, Inc., the state museum of Florida.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Arun S. Menawat, Ph.D.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September 2016</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Dr. Menawat, 69, is Chairman and CEO of Profound Medical Corp. (NASDAQ: PROF), a medical device company that is driving commercialization of real-time MRI-guided ablation for prostate diseases including cancer. Dr. Menawat has an accomplished history of executive leadership success in the healthcare industry. He was previously the Chairman, President, and CEO of Novadaq Technologies Inc. Under his 13-year tenure at Novadaq, he transformed the company from a small private pre-commercial company into the leader in intraoperative imaging and was instrumental in signing strategic partnerships with companies including Intuitive Surgical, LifeCell, and KCI. He obtained a Ph.D. in Chemical (Bio) Engineering from the University of Maryland, while concurrently completing a fellowship in biomedical engineering at the U.S. National Institute of Health and holds an Executive MBA from the J.L. Kellogg School of Management, Northwestern University. In 2014, Dr. Menawat was named the EY Ontario Entrepreneur of the Year in the health sciences category. Dr. Menawat’s strong executive experience with medical device companies provides the Board with valuable guidance for product innovation, customer initiatives and operational matters.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Myriam Curet, M.D.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since July 2021</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 Curet, 67, currently serves as Executive Vice President and Chief Medical Officer for Intuitive Surgical, the global leader and pioneer of robotic surgery. Dr. Curet joined Intuitive Surgical in 2005 and has since led the development of clinical evidence, physician education, and reimbursement activities that have been instrumental to Intuitive Surgical’s growth across multiple clinical specialties. For more than 20 years, Dr. Curet has also served as a Clinical Professor of Surgery at Stanford University School of Medicine, with a part-time clinical appointment at the Palo Alto Veteran’s Administration Medical Center. Dr. Curet received her M.D. from Harvard Medical School and completed her general surgery residency at the University of Chicago. Dr. Curet’s extensive medical credentials and her executive experience in a medical device company provide the Board with significant insights on the commercial adoption of our products, as well as product innovation and operational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 Role in Risk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David L. Fischel became chief executive officer and chairman of the board effective February 3, 2017. Since February 2015, David W. Benfer has served as the lead independent director. The Board believes that it should have flexibility to make the determination of whether the same person should serve as both the chief executive officer and chairman of the board or if the roles should be separate. The Board believes that its current leadership structure, with the positions of chief executive officer and chairman of the Board held by the same individual and Mr. Benfer serving as lead independent director, provides appropriate leadership for the Company and best serves the shareholders. Mr. Benfer provides independent leadership on the Board and interacts with the chief executive officer and the other independent directors to facilitate communications. Our independent directors regularly have executive sessions as part of our regular meeting schedule, during which only the independent directors are present. Mr. Benfer leads these sessions and provides feedback to the chief executive officer and, when appropriate, other senior management.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provides risk oversight to the Company through the Audit Committee. The Audit Committee monitors financial, healthcare compliance, and regulatory risks. This oversight process takes place through discussions at committee meetings with the members of senior management who are responsible for the Company’s risk management policies and procedures. In addition, the Audit Committee regularly meets in a private session with the Company’s independent auditors.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Our common stock is listed on the NYSE American under the trading symbol “STXS”. The stock began trading on the NYSE American on September 6, 2019. Prior to that date the stock had traded on the OTCQX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Best Market since August 4, 2016. Our Board is required to evaluate and affirmatively determine the independence of our directors under the listing standards of the NYSE American, specifically, NYSE American Company Guide Section 803.</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exception of David L. Fischel and Dr. Nathan Fischel, our Board determined that each member of the Board and the respective Audit Committee, Compensation Committee, and Nominating and Corporate Governance Committee were independent in 2023 under the listing standards of the NYSE American.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recommending to the Board candidates to serve as members of the Board. In carrying out this responsibility, the committee has adopted a written policy setting forth the minimum qualifications to serve as a director of the Company. These minimum qualifications emphasize integrity, independence, experience, strength of character, mature judgment, and technical skills applicable to the Company. The committee will also consider whether the candidate is able to represent all shareholders of the Company fairly and equally, without favoring or advancing any particular shareholder or other constituency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also seeks Board members from diverse professional backgrounds who combine a broad spectrum of experience and expertise with a reputation for integrity. Directors should have experience in positions with a high degree of responsibility, be leaders in the companies or institutions with which they are affiliated, and/or be selected based upon contributions they can make to the Company and Board. We do not have a formal policy regarding diversity, but the Board is committed to a diverse membership. In selecting nominees, the Board does not discriminate on the basis of race, color, national origin, sex (including pregnancy, sexual orientation, gender, and/or gender identity), religion, disability, or age.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committee may approve, in its discretion, the candidacy of a nominee who does not satisfy all of these requirements if it believes the service of the nominee is in the best interests of the Company and its shareholders.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committee has written procedures for identifying and evaluating candidates for election to the Board. The material elements of that process are as follows:</w:t>
      </w:r>
    </w:p>
    <w:p>
      <w:pPr>
        <w:spacing w:after="0" w:line="162"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gives due consideration to the re-nomination of incumbent directors who desire to continue their service and who continue to satisfy the committee’s criteria for membership on the Board.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qualified and available incumbent or if there is a vacancy on the Board, the committee will identify and evaluate new candidates and will solicit or entertain recommendations for nominees from other Board members and the Company’s management. The committee also may engage a professional search firm to assist it in identifying qualified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 by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evaluate candidates proposed by shareholders for nomination as directors under criteria similar to the evaluation of other candidates. Our bylaws provide that shareholders seeking to nominate candidates for election as directors at an annual meeting of shareholders must provide timely notice in writing. To be timely, a shareholder’s notice must be delivered to or mailed and received at our principal executive offices not more than 120 days or less than 90 days prior to the anniversary date of the immediately preceding annual meeting of shareholders. However, in the event that the annual meeting is called for a date that is not within 30 days before or after such anniversary date, notice must be received not later than the close of business on the 10th day following the date on which notice of the date of the annual meeting was mailed to shareholders or made public, whichever occurs first. Our bylaws specify requirements as to the form and content of a shareholder’s notice. These provisions may preclude shareholders from making nominations for directors at an annual meeting of shareholders.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has established a written policy that it will consider recommendations for the nomination of a candidate submitted by holders of the Company’s shares entitled to vote generally in the election of directors. The material elements of that policy include the following:</w:t>
      </w:r>
    </w:p>
    <w:p>
      <w:pPr>
        <w:spacing w:after="0" w:line="176" w:lineRule="exact"/>
        <w:rPr>
          <w:sz w:val="20"/>
          <w:szCs w:val="20"/>
          <w:color w:val="auto"/>
        </w:rPr>
      </w:pPr>
    </w:p>
    <w:p>
      <w:pPr>
        <w:ind w:left="1300" w:hanging="644"/>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give consideration to these recommendations for positions on the Board where the committee has determined not to re-nominate a qualified incumbent director;</w:t>
      </w:r>
    </w:p>
    <w:p>
      <w:pPr>
        <w:ind w:left="1300" w:hanging="644"/>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annual meeting of shareholders, it is anticipated that the committee will accept for consideration only one recommendation from any shareholder or affiliated group of shareholders (within the meaning of SEC Regulation 13D); and</w:t>
      </w:r>
    </w:p>
    <w:p>
      <w:pPr>
        <w:jc w:val="both"/>
        <w:ind w:left="1300" w:hanging="644"/>
        <w:spacing w:after="0" w:line="255"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committee has not established a minimum number of shares that a shareholder must own in order to present a nominating recommendation for consideration, or a minimum length of time during which the shareholder must own its shares, the committee may, in its discretion, take into account the size and duration of a recommending shareholder’s ownership interest in the Company.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may, in its discretion, also consider the extent to which the shareholder making the nominating recommendation intends to maintain its ownership interest in the Company; to the extent such information is available to the committee. The committee may elect not to consider recommendations of nominees who do not satisfy the criteria described above, including that a director must represent the interests of all shareholders and not serve for the purpose of favoring or advancing the interests of any particular shareholder group or other constituency. Absent special or unusual circumstances, only those recommendations whose submission complies with the procedural requirements adopted by the committee will be considered by the committee.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shareholder wishing to submit a candidate for consideration should send the following information to the Corporate Secretary, Stereotaxis, Inc., 710 North Tucker Boulevard, Suite 110, St. Louis, Missouri 63101.</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name, number of shares owned, length of period held and proof of ownership;</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age, business, and residential address of candidate;</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résumé describing, among other things, the candidate’s educational background, occupation, employment history and material outside commitments (e.g., memberships on other boards and committees, charitable foundations);</w:t>
      </w:r>
    </w:p>
    <w:p>
      <w:pPr>
        <w:ind w:left="130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supporting statement which describes the candidate’s reasons for seeking election to the Board and documents his/her ability to satisfy the director qualifications described herein;</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candidate that is required to be disclosed in the solicitation of proxies for election of director;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our capital stock that are beneficially owned by the candidate;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arrangements or understandings between the shareholder and the candidate;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statement from the candidate, confirming his/her willingness to serve on the Board.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Secretary will promptly forward such materials to the chair of our Nominating and Corporate Governance Committee and our chairman of the Board. Our Corporate Secretary will also maintain copies of such materials for future reference by the committee when filling Board positions. Shareholders may submit potential director candidates at any time pursuant to these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shareholder wishing to send communications to our Board should send the written communication and the following information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 Stereotaxis, Inc., 710 North Tucker Boulevard, Suite 110, St. Louis, Missouri 63101:</w:t>
      </w:r>
    </w:p>
    <w:p>
      <w:pPr>
        <w:spacing w:after="0" w:line="20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name, number of shares owned, length of period held and proof of ownership;</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age, business, and residential address of shareholder;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director or committee to whom the shareholder would like to have the written statement and other information sent.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Corporate Secretary will forward the information to the chairman of the Board, if addressed to the full Board, or to the specific director to which the communication is addressed.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adopted a Code of Conduct that applies to all of our directors, officers, and employees. Shareholders may download a free copy of our Code of Conduct from our website (www.stereotaxis.com) or by written request to our Chief Compliance Officer as follows: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Matthew Stepanek, Sr. Director, Regulatory Affairs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Stereotaxis, Inc.</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710 North Tucker Boulevard, Suite 110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Louis, Missouri 63101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promptly disclose any amendments to, or waivers from, any provision of the Code of Conduct by posting the relevant material on our website (</w:t>
      </w:r>
      <w:r>
        <w:rPr>
          <w:rFonts w:ascii="Times New Roman" w:cs="Times New Roman" w:eastAsia="Times New Roman" w:hAnsi="Times New Roman"/>
          <w:sz w:val="18"/>
          <w:szCs w:val="18"/>
          <w:u w:val="single" w:color="auto"/>
          <w:color w:val="auto"/>
        </w:rPr>
        <w:t>www.stereotaxis.com</w:t>
      </w:r>
      <w:r>
        <w:rPr>
          <w:rFonts w:ascii="Times New Roman" w:cs="Times New Roman" w:eastAsia="Times New Roman" w:hAnsi="Times New Roman"/>
          <w:sz w:val="18"/>
          <w:szCs w:val="18"/>
          <w:color w:val="auto"/>
        </w:rPr>
        <w:t>) in accordance with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year 2023, the Board of Directors held 5 meetings. During fiscal year 2023 all incumbent directors attended 100% of the aggregate meetings of the Board and the Board committees on which they served during the period they held office. Directors are encouraged, but not required, to attend our Annual Meeting of Shareholders. Mr. David Benfer, Mr. David Fischel and Mr. Robert Messey attended our 2023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has established three standing committees. Presently, the standing committees are: Audit, Compensation, and Nominating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Committee membership as of the end of fiscal year 2023 was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w:t>
            </w: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198"/>
        </w:trPr>
        <w:tc>
          <w:tcPr>
            <w:tcW w:w="5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Ross B. Levin, Chairman</w:t>
            </w:r>
          </w:p>
        </w:tc>
        <w:tc>
          <w:tcPr>
            <w:tcW w:w="200" w:type="dxa"/>
            <w:vAlign w:val="bottom"/>
          </w:tcPr>
          <w:p>
            <w:pPr>
              <w:spacing w:after="0"/>
              <w:rPr>
                <w:sz w:val="17"/>
                <w:szCs w:val="17"/>
                <w:color w:val="auto"/>
              </w:rPr>
            </w:pPr>
          </w:p>
        </w:tc>
        <w:tc>
          <w:tcPr>
            <w:tcW w:w="5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Arun Menawat, Chairman</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 Benfer</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Myriam Curet</w:t>
            </w: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Messey</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David W. Benfer</w:t>
            </w:r>
          </w:p>
        </w:tc>
      </w:tr>
      <w:tr>
        <w:trPr>
          <w:trHeight w:val="439"/>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Nominating &amp; Corporate Governance</w:t>
            </w:r>
          </w:p>
        </w:tc>
        <w:tc>
          <w:tcPr>
            <w:tcW w:w="5120" w:type="dxa"/>
            <w:vAlign w:val="bottom"/>
          </w:tcPr>
          <w:p>
            <w:pPr>
              <w:spacing w:after="0"/>
              <w:rPr>
                <w:sz w:val="24"/>
                <w:szCs w:val="24"/>
                <w:color w:val="auto"/>
              </w:rPr>
            </w:pPr>
          </w:p>
        </w:tc>
      </w:tr>
      <w:tr>
        <w:trPr>
          <w:trHeight w:val="198"/>
        </w:trPr>
        <w:tc>
          <w:tcPr>
            <w:tcW w:w="5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W. Benfer, Chairman</w:t>
            </w:r>
          </w:p>
        </w:tc>
        <w:tc>
          <w:tcPr>
            <w:tcW w:w="20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Myriam Curet</w:t>
            </w:r>
          </w:p>
        </w:tc>
        <w:tc>
          <w:tcPr>
            <w:tcW w:w="5120" w:type="dxa"/>
            <w:vAlign w:val="bottom"/>
          </w:tcPr>
          <w:p>
            <w:pPr>
              <w:spacing w:after="0"/>
              <w:rPr>
                <w:sz w:val="18"/>
                <w:szCs w:val="18"/>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B. Levin</w:t>
            </w:r>
          </w:p>
        </w:tc>
        <w:tc>
          <w:tcPr>
            <w:tcW w:w="512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adopted a written charter for each of the committees. The charters of our Audit, Compensation, and Nominating and Corporate Governance Committees, and our Code of Conduct are published on our website at www.stereotaxis.com, Investors, Board &amp; Management, Governance. These materials are available in print to any shareholder upon request. From time to time, the Board and the committees review and update these documents, as they deem necessary and appropriate.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noted previously, the Board has determined not to renominate Mr. Messey for re-election to the Board at the 2024 Annual Meeting. The Board anticipates appointing Dr. Arun Menawat as a member of the Audit Committee prior to the 2024 Annual Meeting. The Board anticipates a determination that Dr. Arun Menawat is independent under the listing standards of the NYSE American and the enhanced independence standards for audit committee members set forth in SEC rules under the Securities Exchange Act of 1934, and is financially sophisticated.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has determined that each member of the Audit Committee is independent under the listing standards of the NYSE American and the enhanced independence standards for audit committee members set forth in SEC rules under the Securities Exchange Act of 1934. Further, our Board has determined that each member of the Audit Committee is financially sophisticated. At all times since his service on the Board since May 2005, the Board had determined that Mr. Messey qualifies as an “audit committee financial expert” under SEC rules and regulations. Prior to the Annual Meeting, the Board plans to determine whether Mr. Levin also qualifies as an audit committee financial expert under SEC rules and regulations based upon his extensive financial and accounting experience. The Audit Committee assists our Board in its oversight of:</w:t>
      </w:r>
    </w:p>
    <w:p>
      <w:pPr>
        <w:spacing w:after="0" w:line="187"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 including our internal controls;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registered public accountants’ qualifications and independence;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accountants.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direct responsibility for the appointment, compensation, retention, and oversight of our independent registered public accountants. In addition, the Audit Committee must approve in advance:</w:t>
      </w:r>
    </w:p>
    <w:p>
      <w:pPr>
        <w:spacing w:after="0" w:line="16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related-party transaction that creates a conflict-of-interest situation;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audit services; and</w:t>
      </w:r>
    </w:p>
    <w:p>
      <w:pPr>
        <w:spacing w:after="0" w:line="9"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non-audit services,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provided the Audit Committee has approved such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prior to the completion of the audit.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year 2023, the Audit Committee met four times and acted two times by unanimous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determined that each director serving on the Compensation Committee during 2023 was independent under the listing standards of the NYSE American, and that each qualified as an “outside director” under Section 162(m) of the Internal Revenue Code of 1986 and as a “non-employee director” under Rule 16b-3 under the Securities Exchange Act of 1934. The functions of the Compensation Committee include:</w:t>
      </w:r>
    </w:p>
    <w:p>
      <w:pPr>
        <w:spacing w:after="0" w:line="17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and the Board in defining an executive compensation policy;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total compensation package for our chief executive officer and other executive officers;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or, to the extent deemed appropriate delegating to our officers, reviewing and monitoring the administration of our equity-based compensation plans and qualified and non-qualified benefit plans;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new incentive plans and major benefit programs;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to the outside directors’ compensation program.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authority to retain compensation consultants to furnish advice or assistance to the committee within the scope of its duties. The committee has direct responsibility for the appointment, retention, and compensation of the compensation consultants as well as the oversight of the work of the consultants. In selecting any compensation consultant, the committee considers the factors relevant to the consultant’s independence from management in accordance with the listing standards of the NYSE American.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year 2023, the Compensation Committee met one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director serving on the Nominating and Corporate Governance Committee during 2023 was independent under the listing standards of the NYSE American. The Nominating and Corporate Governance Committee assists the Board in:</w:t>
      </w:r>
    </w:p>
    <w:p>
      <w:pPr>
        <w:spacing w:after="0" w:line="16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individuals qualified to become Board members;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 nominees received from shareholders;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director nominees for submission to the shareholders at our annual meeting;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director candidates to fill any vacancies on the Board; and</w:t>
      </w:r>
    </w:p>
    <w:p>
      <w:pPr>
        <w:spacing w:after="0" w:line="9"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structure and operations of the Board, including recommending Board committee structure, appointments, and responsibilities.</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also responsible for developing and recommending to the Board a set of corporate governance guidelines and principles. During fiscal year 2023, the Nominating and Corporate Governance Committee met one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July 2021 Non-Employee Director compensation program, each director receives an annual award of restricted share units (RSUs) equal to $200,000 annually, payable in two-equal semi-annual installments valued at $100,000, each with the number of RSUs issued at each semi-annual installment calculated by dividing (a) the total semi-annual grant value of $100,000 by (b) the adjusted closing per share on the accounting grant date for each semi-annual period. The annual equity awards are made in two equal installments on the first business day of January and the first business day of July in each calendar year, paid in arrears (the first installment is compensation for the six months ending December 31st, and the second installment is compensation for the six months ending June 30th) and pro-rated if applicable (in the event a new director is nominated and elected).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director has the option to choose one of two vesting schedules prior to the commencement of the year. Each director may elect either for: (1) the restricted share units to vest immediately with the first option as of the date of the award; or (2) the restricted share units to vest on the earliest to occur of (i) the fifth anniversary of the date of the award, (ii) the date on which the service of the director on the Board of Directors terminates, or (iii) a “change of control” of the Company, as defined in the award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 Reimbursements for any non-employee director did not exceed the $10,000 threshold in fiscal 2023 and thus are not included in the table below for director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discloses compensation to our non-employee directors for their services during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b w:val="1"/>
                <w:bCs w:val="1"/>
                <w:color w:val="auto"/>
              </w:rPr>
              <w:t>Option</w:t>
            </w:r>
          </w:p>
        </w:tc>
        <w:tc>
          <w:tcPr>
            <w:tcW w:w="1420" w:type="dxa"/>
            <w:vAlign w:val="bottom"/>
            <w:gridSpan w:val="2"/>
          </w:tcPr>
          <w:p>
            <w:pPr>
              <w:jc w:val="right"/>
              <w:ind w:right="50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1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29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3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Benfer</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Myriam Curet</w:t>
            </w:r>
            <w:r>
              <w:rPr>
                <w:rFonts w:ascii="Times New Roman" w:cs="Times New Roman" w:eastAsia="Times New Roman" w:hAnsi="Times New Roman"/>
                <w:sz w:val="29"/>
                <w:szCs w:val="29"/>
                <w:color w:val="auto"/>
                <w:vertAlign w:val="superscript"/>
              </w:rPr>
              <w:t>(2)</w:t>
            </w:r>
          </w:p>
        </w:tc>
        <w:tc>
          <w:tcPr>
            <w:tcW w:w="1060" w:type="dxa"/>
            <w:vAlign w:val="bottom"/>
          </w:tcPr>
          <w:p>
            <w:pPr>
              <w:spacing w:after="0"/>
              <w:rPr>
                <w:sz w:val="22"/>
                <w:szCs w:val="22"/>
                <w:color w:val="auto"/>
              </w:rPr>
            </w:pPr>
          </w:p>
        </w:tc>
        <w:tc>
          <w:tcPr>
            <w:tcW w:w="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L. Fischel</w:t>
            </w:r>
            <w:r>
              <w:rPr>
                <w:rFonts w:ascii="Times New Roman" w:cs="Times New Roman" w:eastAsia="Times New Roman" w:hAnsi="Times New Roman"/>
                <w:sz w:val="29"/>
                <w:szCs w:val="29"/>
                <w:color w:val="auto"/>
                <w:vertAlign w:val="superscript"/>
              </w:rPr>
              <w:t>(3)</w:t>
            </w:r>
          </w:p>
        </w:tc>
        <w:tc>
          <w:tcPr>
            <w:tcW w:w="10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Fischel, M.D.</w:t>
            </w:r>
            <w:r>
              <w:rPr>
                <w:rFonts w:ascii="Times New Roman" w:cs="Times New Roman" w:eastAsia="Times New Roman" w:hAnsi="Times New Roman"/>
                <w:sz w:val="29"/>
                <w:szCs w:val="29"/>
                <w:color w:val="auto"/>
                <w:vertAlign w:val="superscript"/>
              </w:rPr>
              <w:t>(4)</w:t>
            </w:r>
          </w:p>
        </w:tc>
        <w:tc>
          <w:tcPr>
            <w:tcW w:w="1060" w:type="dxa"/>
            <w:vAlign w:val="bottom"/>
          </w:tcPr>
          <w:p>
            <w:pPr>
              <w:spacing w:after="0"/>
              <w:rPr>
                <w:sz w:val="22"/>
                <w:szCs w:val="22"/>
                <w:color w:val="auto"/>
              </w:rPr>
            </w:pPr>
          </w:p>
        </w:tc>
        <w:tc>
          <w:tcPr>
            <w:tcW w:w="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Ross Levin</w:t>
            </w:r>
            <w:r>
              <w:rPr>
                <w:rFonts w:ascii="Times New Roman" w:cs="Times New Roman" w:eastAsia="Times New Roman" w:hAnsi="Times New Roman"/>
                <w:sz w:val="29"/>
                <w:szCs w:val="29"/>
                <w:color w:val="auto"/>
                <w:vertAlign w:val="superscript"/>
              </w:rPr>
              <w:t>(5)</w:t>
            </w:r>
          </w:p>
        </w:tc>
        <w:tc>
          <w:tcPr>
            <w:tcW w:w="10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Arun S. Menawat</w:t>
            </w:r>
            <w:r>
              <w:rPr>
                <w:rFonts w:ascii="Times New Roman" w:cs="Times New Roman" w:eastAsia="Times New Roman" w:hAnsi="Times New Roman"/>
                <w:sz w:val="29"/>
                <w:szCs w:val="29"/>
                <w:color w:val="auto"/>
                <w:vertAlign w:val="superscript"/>
              </w:rPr>
              <w:t>(6)</w:t>
            </w:r>
          </w:p>
        </w:tc>
        <w:tc>
          <w:tcPr>
            <w:tcW w:w="1060" w:type="dxa"/>
            <w:vAlign w:val="bottom"/>
          </w:tcPr>
          <w:p>
            <w:pPr>
              <w:spacing w:after="0"/>
              <w:rPr>
                <w:sz w:val="22"/>
                <w:szCs w:val="22"/>
                <w:color w:val="auto"/>
              </w:rPr>
            </w:pPr>
          </w:p>
        </w:tc>
        <w:tc>
          <w:tcPr>
            <w:tcW w:w="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J. Messey</w:t>
            </w:r>
            <w:r>
              <w:rPr>
                <w:rFonts w:ascii="Times New Roman" w:cs="Times New Roman" w:eastAsia="Times New Roman" w:hAnsi="Times New Roman"/>
                <w:sz w:val="29"/>
                <w:szCs w:val="29"/>
                <w:color w:val="auto"/>
                <w:vertAlign w:val="superscript"/>
              </w:rPr>
              <w:t>(7)</w:t>
            </w:r>
          </w:p>
        </w:tc>
        <w:tc>
          <w:tcPr>
            <w:tcW w:w="10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aggregate grant date fair value computed in accordance with FASB ASC Topic 718. Includes restricted share units issued in 2024 for services performed in 2023.</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126,535 restricted share units were outstanding as of December 31, 2023, none of which were vested as of such date.</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member of the Company’s management, Mr. David Fischel did not receive compensation for his services as a director in 2023. 145,000 restricted share units were outstanding as of December 31, 2023, none of which were vested as of such date.</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307,649 restricted share units were outstanding as of December 31, 2023, none of which were vested as of such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307,649 restricted share units were outstanding as of December 31, 2023, none of which were vested as of such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307,649 restricted share units were outstanding as of December 31, 2023, none of which were vested as of such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307,649 restricted share units were outstanding as of December 31, 2023, none of which were vested as of such 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compensation arrangements of our Named Executive Officers for 2023 is intended to provide additional context about our compensation philosophy and our Board’s compensation-related decisions in 2023. It should be read together with the compensation tables and related disclosures set forth below.</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are based on our current considerations, expectations, and determinations regarding future compensation programs. The actual amount and form of compensation and the compensation programs that we adopt may differ materially from current or planned programs as summarized in this discussion.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relate to the compensation arrangements for 2023 of (i) our principal executive officer and (ii) our principal financial officer, who are the two officers included in our Summary Compensation Table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Summary and Analysis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is tasked with discharging the Board of Directors’ responsibilities related to oversight of the compensation of our directors and officers and ensuring that our executive compensation program meets our corporate objectives. The following is a summary and analysis of the executive compensation policies, programs and practices developed by the Compensation Committee, and a description of the compensation of our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objective of our compensation program is to attract, retain and motivate highly qualified executive officers while aligning the interests of these executives with those of shareholders. When designing compensation packages to achieve this objective, the committee is guided by the following principles:</w:t>
      </w:r>
    </w:p>
    <w:p>
      <w:pPr>
        <w:spacing w:after="0" w:line="174" w:lineRule="exact"/>
        <w:rPr>
          <w:sz w:val="20"/>
          <w:szCs w:val="20"/>
          <w:color w:val="auto"/>
        </w:rPr>
      </w:pPr>
    </w:p>
    <w:p>
      <w:pPr>
        <w:ind w:left="980" w:hanging="324"/>
        <w:spacing w:after="0" w:line="26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Align pay and performance</w:t>
      </w:r>
      <w:r>
        <w:rPr>
          <w:rFonts w:ascii="Times New Roman" w:cs="Times New Roman" w:eastAsia="Times New Roman" w:hAnsi="Times New Roman"/>
          <w:sz w:val="18"/>
          <w:szCs w:val="18"/>
          <w:color w:val="auto"/>
        </w:rPr>
        <w:t>: Provide total compensation that is commensurate with stock price performance, the operational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of our business, and the individual performance contributions of executives.</w:t>
      </w:r>
    </w:p>
    <w:p>
      <w:pPr>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 program cost and dilution: </w:t>
      </w:r>
      <w:r>
        <w:rPr>
          <w:rFonts w:ascii="Times New Roman" w:cs="Times New Roman" w:eastAsia="Times New Roman" w:hAnsi="Times New Roman"/>
          <w:sz w:val="18"/>
          <w:szCs w:val="18"/>
          <w:color w:val="auto"/>
        </w:rPr>
        <w:t>Balance other considerations for executive pay programs with their impact on earnings, cash flow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dilution.</w:t>
      </w:r>
    </w:p>
    <w:p>
      <w:pPr>
        <w:jc w:val="both"/>
        <w:ind w:left="980" w:hanging="324"/>
        <w:spacing w:after="0" w:line="255"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market competitive pay</w:t>
      </w:r>
      <w:r>
        <w:rPr>
          <w:rFonts w:ascii="Times New Roman" w:cs="Times New Roman" w:eastAsia="Times New Roman" w:hAnsi="Times New Roman"/>
          <w:sz w:val="18"/>
          <w:szCs w:val="18"/>
          <w:color w:val="auto"/>
        </w:rPr>
        <w:t>: Targeted compensation opportunities should generally reflect levels, both in terms of size of pay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mix of pay elements, observed in the competitive marketplace, as defined by the market median pay levels among companies with which we compete for talent.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adhering to these principles will create a total compensation program that supports our aim to deliver long-term shareholder value through business performance. In addition to the above principles, the Compensation Committee exercises its judgment in setting pay levels with respect to individual competencies and experience and the internal compensation equity among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and Independence of the Consultant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time-to-time, when deemed necessary, the Compensation Committee engages the services of an independent compensation consultant to provide the committee with market data and analysis, advice on incentive design practices, and an external perspective on pay trends and legal and regulatory developments. No compensation consultant provided services to the Compensation Committee during fiscal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Compensation Decisions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executive officers other than our CEO, the Compensation Committee has historically sought and considered input from our CEO regarding such executive officers’ responsibilities, performance, and compensation. Specifically, our CEO recommends base salary increases and equity award levels that are used throughout our compensation plans and advises the Compensation Committee regarding the compensation program’s ability to attract, retain and motivate executive talent. These recommendations reflect compensation levels that our CEO believes are qualitatively commensurate with an executive officer’s individual qualifications, experience, responsibility level, functional role, knowledge, skills, and individual performance, as well as the Company’s performance. Our Compensation Committee considers our CEO’s recommendations but may adjust up or down as it determines in its discretion and approves the specific compensation for all the executive officers. All such compensation determinations by our Compensation Committee are largely discretionary.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CEO abstains from voting in sessions of the Board of Directors where the Board of Directors acts on the Compensation Committee’s recommendations regarding his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elements of the compensation program for officers are base salary, equity-based long-term incentive, and benefits.</w:t>
      </w:r>
    </w:p>
    <w:p>
      <w:pPr>
        <w:spacing w:after="0" w:line="225"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18"/>
          <w:szCs w:val="18"/>
          <w:color w:val="auto"/>
        </w:rPr>
        <w:t>The elements of the compensation package for our CEO are heavily weighted toward his long-term incentive award made pursuant to the Company’s 2021 CEO Performance Share Unit Award Plan, which was approved by shareholders at our 2021 Annual Meeting (see “</w:t>
      </w:r>
      <w:r>
        <w:rPr>
          <w:rFonts w:ascii="Times New Roman" w:cs="Times New Roman" w:eastAsia="Times New Roman" w:hAnsi="Times New Roman"/>
          <w:sz w:val="18"/>
          <w:szCs w:val="18"/>
          <w:i w:val="1"/>
          <w:iCs w:val="1"/>
          <w:color w:val="auto"/>
        </w:rPr>
        <w:t>2023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Compensation—Long-Term Incentive Compensation</w:t>
      </w:r>
      <w:r>
        <w:rPr>
          <w:rFonts w:ascii="Times New Roman" w:cs="Times New Roman" w:eastAsia="Times New Roman" w:hAnsi="Times New Roman"/>
          <w:sz w:val="18"/>
          <w:szCs w:val="18"/>
          <w:color w:val="auto"/>
        </w:rPr>
        <w:t>” below). We also compensate Mr. Fischel with a very modest base salary. We believe a typical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arrangement for a similarly situated public company in the medical device industry would provide Mr. Fischel with a six-figure annual salary and a similar six-figure annual cash-bonus, as well as significant annual stock grants that could have value irrespective of stock price appreciation, and a separation agreement providing a year of salary continuation or other typical termination benefits. Under his employment agreement, Mr. Fischel only receives an annual salary of $60,000. The Company does not intend to pay cash or equity bonuses during his employment, and he is not entitled to any such amounts under his employment agreement. Mr. Fischel’s employment agreement is an “at-will” agreement and does not provide for any salary continuation. While Mr. Fischel could realize substantial value from the 2021 CEO Performance Share Unit Award Plan, he will only do so if the Company and its shareholders benefit. Further, as the majority of Mr. Fischel’s compensation is non-cash based, the Company will be able to allocate its cash resources to further strategic initiatives that improve the underlying value of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Officers other than the CEO are also eligible for an annual cash incentive. The committee has historically set targeted total compensation at the median of the competitive market. The committee may adjust targeted total compensation, or the mix of total compensation based on other considerations such as business performance, company size and stock dilution. In addition, incentive programs are intended to be designed such that total compensation realized by executives is consistent with performance achievement. The objective of the Company’s long-term incentive program is to directly align compensation outcomes with returns received by shareholders, build equity ownership within the management team, and motivate the sustainable financial performance that supports stock price growth. Long-term incentive awards to the CEO are made pursuant to the Company’s 2021 CEO Performance Share Unit Award Plan. Long-term incentive awards to officers other than the CEO are made pursuant to the Company’s 2022 Stock Incentive Plan, which permits grants of cash awards, stock options, stock appreciation rights and stock awards. Throughout the year, the committee may also approve awards in connection with employee promotions, employee retention, an individual newly hired to the Company, or for purposes otherwise deemed to be in the best interest of the Company. The timing of these equity award grants is not based on the timing of the release of material, non-public information, nor is such information released for the purpose of affecting the value of executive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the design of the annual cash incentive plan available for officers other than the CEO was intended to be primarily objective and formulaic. Each year, the committee established annual performance metrics relating to financial performance and strategic initiatives and annual incentive opportunities for management employees, including the Named Executive Officers. The annual incentive opportunities were determined as a percentage of the individual’s base salary. In addition, the committee retained discretion to adjust annual incentive awards, taking into account non-formulaic considerations such as the context in which certain performance achievement occurred, the unique experience an individual brings to a role, and other factors the committee deemed relevant. In recent years, the committee has decided not to establish a plan based on objective, formulaic performance goals and metrics for the Company and instead determined that annual incentive awards to management, including the Named Executive Officers other than the CEO, would be discretionary.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typical pay review process occurs at the beginning of the fiscal year at which time the Compensation Committee reviews and approves executive compensation, including adjustments in base salaries, annual incentive awards and equity awards, and, if appropriate, establishes performance goals and target incentive opportunities for the annual incentive plan for the following fiscal year. During the review process, the committee considers a number of factors, including competitive market data, input received from the Company’s management, an assessment of individual performance and the operating performance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Executive Compensation</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Annual Base Salary</w:t>
      </w:r>
      <w:r>
        <w:rPr>
          <w:rFonts w:ascii="Times New Roman" w:cs="Times New Roman" w:eastAsia="Times New Roman" w:hAnsi="Times New Roman"/>
          <w:sz w:val="18"/>
          <w:szCs w:val="18"/>
          <w:color w:val="auto"/>
        </w:rPr>
        <w:t>. The Compensation Committee decided to make no changes to the annual base salary during 2023 for the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which remained at $60,000 per year for Mr. Fischel, our Chief Executive Officer, and $223,000 for Ms. Peery, our Chief Financial Officer.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Incentive Plan. </w:t>
      </w:r>
      <w:r>
        <w:rPr>
          <w:rFonts w:ascii="Times New Roman" w:cs="Times New Roman" w:eastAsia="Times New Roman" w:hAnsi="Times New Roman"/>
          <w:sz w:val="18"/>
          <w:szCs w:val="18"/>
          <w:color w:val="auto"/>
        </w:rPr>
        <w:t>The committee decided not to establish a 2023 annual incentive plan based on objective, formulaic performance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metrics for the Company or the Named Executive Officers, and instead determined that annual incentive awards to management, including the Named Executive Officers, for the 2023 fiscal year would be discretionary.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w:t>
      </w:r>
      <w:r>
        <w:rPr>
          <w:rFonts w:ascii="Times New Roman" w:cs="Times New Roman" w:eastAsia="Times New Roman" w:hAnsi="Times New Roman"/>
          <w:sz w:val="18"/>
          <w:szCs w:val="18"/>
          <w:color w:val="auto"/>
        </w:rPr>
        <w:t>In March 2023, a grant of service-vested Incentive Stock Options, vesting 25% on the first anniversary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2.083% per month thereafter through the fourth anniversary, was made to Ms. Peery with the intention of emphasizing retention and the criticality of shareholder alignment during this key phase in the Company’s life-cycle. In February 2021, the Board, upon recommendation of the Compensation Committee and subject to shareholder approval, approved a grant of performance based restricted stock units to Mr. Fischel, with vesting contingent on achievement of minimum service requirements and market-based milestones. Shareholders subsequently approved the award in May 2021. As of December 31, 2023, none of the performance milestones established by the 2021 CEO Incentive Program have been achieved and no awards have been earned. The full award document can be found in Exhibit 10.5 to our 2023 Form 10-K filed with the SEC on March 8,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2023, our Board adopted the Stereotaxis Incentive Compensation Recovery Policy (the “Dodd-Frank Clawback Policy”) to comply with final rules required by the Dodd-Frank Wall Street Reform and Consumer Protection Act and the SEC, and the applicable NYSE American listing standards. The Dodd-Frank Clawback Policy provides for the mandatory recoupment of erroneously awarded incentive-based compensation in the event of an accounting restatement. In such an event, the Company would seek to recover the amount of erroneously awarded incentive-based compensation paid to applicable covered executives that was in excess of the amount that would have been awarded based on the restated financial results, subject to and in accordance with the terms of the policy and applicable law.</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has also adopted, separate from and in addition to the Dodd-Frank Clawback Policy, a recoupment policy applicable to incentive compensation based on financial results, including the annual bonus and equity-based compensation, to our Named Executive Officers and other executives. If we are required to file a restatement of financial results due to fraud, gross negligence or willful misconduct, then our independent directors may take action to recoup any portion of the incentive compensation awarded to the executives that exceeded the amount that would have been awarded based on the restated financial results during the three fiscal years prior to the filing of the restated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7" w:lineRule="exact"/>
        <w:rPr>
          <w:sz w:val="20"/>
          <w:szCs w:val="20"/>
          <w:color w:val="auto"/>
        </w:rPr>
      </w:pPr>
    </w:p>
    <w:p>
      <w:pPr>
        <w:jc w:val="both"/>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Healthcare and Other Insurance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of our employees, including the Named Executive Officers, are eligible to participate in medical, dental, short and long-term disability and life insurance plans. The terms of such benefits for our Named Executive Officers are the same as those for all of our employees.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401(k)</w:t>
      </w:r>
      <w:r>
        <w:rPr>
          <w:rFonts w:ascii="Times New Roman" w:cs="Times New Roman" w:eastAsia="Times New Roman" w:hAnsi="Times New Roman"/>
          <w:sz w:val="18"/>
          <w:szCs w:val="18"/>
          <w:color w:val="auto"/>
        </w:rPr>
        <w:t>: We offer all eligible employees the opportunity to participate in a 401(k) plan. Employer matching contributions are discretionary under the 401(k) plan. During 2023, the Company matched employee contributions up to 3% of the employee’s salary, subject to limitations. However, the employer match payment was not made until 2024.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The Company offers an employee stock purchase plan, under which all of our employees, including our Named Executive Officers, who do not own 5% or more of our outstanding common stock, have the opportunity to buy shares of the Company’s common stock at 95% of market price with up to 15% of their salaries and incentives (subject to certain limits), with the objective of allowing employees to profit when the value of our stock increases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considered potential risks arising out of our compensation programs and does not believe our compensation programs encourage excessive or inappropriate risk taking by our employees. The Compensation Committee believes that our compensation packages, which are structured to balance fixed and variable compensation and include both annual and long-term incentives, mitigate unnecessary or excessive risk taking.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compensation paid to the following Named Executive Officers for fiscal years 2022 and 2023. For more information about the components of the total compensation, refer to the “Executive Compensation Summary and Analysis” section of this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6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4"/>
                <w:szCs w:val="24"/>
                <w:color w:val="auto"/>
              </w:rPr>
            </w:pPr>
          </w:p>
        </w:tc>
        <w:tc>
          <w:tcPr>
            <w:tcW w:w="7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320" w:type="dxa"/>
            <w:vAlign w:val="bottom"/>
          </w:tcPr>
          <w:p>
            <w:pPr>
              <w:spacing w:after="0"/>
              <w:rPr>
                <w:sz w:val="24"/>
                <w:szCs w:val="24"/>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160" w:type="dxa"/>
            <w:vAlign w:val="bottom"/>
          </w:tcPr>
          <w:p>
            <w:pPr>
              <w:spacing w:after="0"/>
              <w:rPr>
                <w:sz w:val="24"/>
                <w:szCs w:val="24"/>
                <w:color w:val="auto"/>
              </w:rPr>
            </w:pPr>
          </w:p>
        </w:tc>
        <w:tc>
          <w:tcPr>
            <w:tcW w:w="1260" w:type="dxa"/>
            <w:vAlign w:val="bottom"/>
            <w:gridSpan w:val="2"/>
          </w:tcPr>
          <w:p>
            <w:pPr>
              <w:jc w:val="right"/>
              <w:ind w:right="27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(3)</w:t>
            </w:r>
          </w:p>
        </w:tc>
        <w:tc>
          <w:tcPr>
            <w:tcW w:w="30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Fischel</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2,195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62,195</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Kimberly R. Peery</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223,000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72,040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8,758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323,798</w:t>
            </w: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222,500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134,920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9,340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386,760</w:t>
            </w:r>
          </w:p>
        </w:tc>
      </w:tr>
    </w:tbl>
    <w:p>
      <w:pPr>
        <w:spacing w:after="0" w:line="179" w:lineRule="exact"/>
        <w:rPr>
          <w:sz w:val="20"/>
          <w:szCs w:val="20"/>
          <w:color w:val="auto"/>
        </w:rPr>
      </w:pPr>
    </w:p>
    <w:p>
      <w:pPr>
        <w:jc w:val="both"/>
        <w:ind w:left="340" w:hanging="332"/>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the aggregate grant date fair value of awards granted during the year computed in accordance with ASC 718, Compensation-Stock Compensation. These awards consist of grants of incentive stock options. See Note 9 of the notes to our consolidated financial statements contained in our 2023 Annual Report on Form 10-K for a discussion of all assumptions made by us in determining the ASC 718, Compensation-Stock Compensation values of our equity awards. These amounts reflect the aggregate grant date fair value for these awards and do not correspond to the actual value that will be recognized by the Named Executive Officers.</w:t>
      </w:r>
    </w:p>
    <w:p>
      <w:pPr>
        <w:spacing w:after="0" w:line="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cash awards earned during the respective fiscal year under the applicable annual incentive programs, irrespective of the year in which they were actually paid.</w:t>
      </w:r>
    </w:p>
    <w:p>
      <w:pPr>
        <w:ind w:left="340" w:hanging="332"/>
        <w:spacing w:after="0" w:line="26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payment of group term life insurance premiums and employer match contributions to the executive’s 401(k) plan earned in the respective fiscal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2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Pr>
          <w:p>
            <w:pPr>
              <w:spacing w:after="0"/>
              <w:rPr>
                <w:sz w:val="24"/>
                <w:szCs w:val="24"/>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740" w:type="dxa"/>
            <w:vAlign w:val="bottom"/>
            <w:gridSpan w:val="3"/>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6"/>
              </w:rPr>
              <w:t>Unexercisable</w:t>
            </w:r>
            <w:r>
              <w:rPr>
                <w:rFonts w:ascii="Times New Roman" w:cs="Times New Roman" w:eastAsia="Times New Roman" w:hAnsi="Times New Roman"/>
                <w:sz w:val="29"/>
                <w:szCs w:val="29"/>
                <w:b w:val="1"/>
                <w:bCs w:val="1"/>
                <w:color w:val="auto"/>
                <w:w w:val="96"/>
                <w:vertAlign w:val="superscript"/>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Vested (#)</w:t>
            </w:r>
          </w:p>
        </w:tc>
        <w:tc>
          <w:tcPr>
            <w:tcW w:w="110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Vested </w:t>
            </w: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29"/>
                <w:szCs w:val="29"/>
                <w:b w:val="1"/>
                <w:bCs w:val="1"/>
                <w:color w:val="auto"/>
                <w:w w:val="93"/>
                <w:vertAlign w:val="superscript"/>
              </w:rPr>
              <w:t>(2)</w:t>
            </w:r>
          </w:p>
        </w:tc>
        <w:tc>
          <w:tcPr>
            <w:tcW w:w="0" w:type="dxa"/>
            <w:vAlign w:val="bottom"/>
          </w:tcPr>
          <w:p>
            <w:pPr>
              <w:spacing w:after="0"/>
              <w:rPr>
                <w:sz w:val="1"/>
                <w:szCs w:val="1"/>
                <w:color w:val="auto"/>
              </w:rPr>
            </w:pPr>
          </w:p>
        </w:tc>
      </w:tr>
      <w:tr>
        <w:trPr>
          <w:trHeight w:val="201"/>
        </w:trPr>
        <w:tc>
          <w:tcPr>
            <w:tcW w:w="12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David L.</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Fischel</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1/2/2019</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2/27/2021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7"/>
                <w:szCs w:val="17"/>
                <w:color w:val="auto"/>
              </w:rPr>
              <w:t>13,000,000</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22,750,000</w:t>
            </w:r>
          </w:p>
        </w:tc>
        <w:tc>
          <w:tcPr>
            <w:tcW w:w="0" w:type="dxa"/>
            <w:vAlign w:val="bottom"/>
          </w:tcPr>
          <w:p>
            <w:pPr>
              <w:spacing w:after="0"/>
              <w:rPr>
                <w:sz w:val="1"/>
                <w:szCs w:val="1"/>
                <w:color w:val="auto"/>
              </w:rPr>
            </w:pPr>
          </w:p>
        </w:tc>
      </w:tr>
      <w:tr>
        <w:trPr>
          <w:trHeight w:val="48"/>
        </w:trPr>
        <w:tc>
          <w:tcPr>
            <w:tcW w:w="1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Kimberly 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Peery</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3/27/2014</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3/27/2024</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2/26/2018</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15,750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2/26/2028</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3/3/2019</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3/3/2029</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3/9/2020</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37,522</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2,478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3/9/2030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3/8/2021</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27,514</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12,486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3/8/2031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2/25/2022</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18,340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21,660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2/25/2032</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3/1/2023</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3/1/2033</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452"/>
        <w:spacing w:after="0" w:line="257"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appearing in this column represent the total number of options and stock appreciation rights (SARs) that have not vested as of December 31, 2023. Options and SARs granted to the Named Executive Officers, vest at the rate of 25% one year from the date of grant, and monthly thereafter, over 36 additional months.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$1.75 for the shares of our common stock on December 29, 2023.</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1, 2020, Mr. Fischel received compensation as a “non-employee director” under our compensation program for non-employee directors described under “Director Compensation” above.</w:t>
      </w:r>
    </w:p>
    <w:p>
      <w:pPr>
        <w:ind w:left="460" w:right="20" w:hanging="452"/>
        <w:spacing w:after="0" w:line="26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Fischel has not achieved any of the performance milestones established by the 2021 CEO Incentive Program and has not received any awards under that program.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Summary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Based On 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3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rPr>
              <w:t>(Loss)</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77"/>
        </w:trPr>
        <w:tc>
          <w:tcPr>
            <w:tcW w:w="26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(“PEO”)</w:t>
            </w:r>
          </w:p>
        </w:tc>
        <w:tc>
          <w:tcPr>
            <w:tcW w:w="14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0"/>
              </w:rPr>
              <w:t>PEO</w:t>
            </w:r>
            <w:r>
              <w:rPr>
                <w:rFonts w:ascii="Times New Roman" w:cs="Times New Roman" w:eastAsia="Times New Roman" w:hAnsi="Times New Roman"/>
                <w:sz w:val="29"/>
                <w:szCs w:val="29"/>
                <w:b w:val="1"/>
                <w:bCs w:val="1"/>
                <w:color w:val="auto"/>
                <w:w w:val="90"/>
                <w:vertAlign w:val="superscript"/>
              </w:rPr>
              <w:t>(1)</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4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0"/>
              </w:rPr>
              <w:t>NEOs</w:t>
            </w:r>
            <w:r>
              <w:rPr>
                <w:rFonts w:ascii="Times New Roman" w:cs="Times New Roman" w:eastAsia="Times New Roman" w:hAnsi="Times New Roman"/>
                <w:sz w:val="29"/>
                <w:szCs w:val="29"/>
                <w:b w:val="1"/>
                <w:bCs w:val="1"/>
                <w:color w:val="auto"/>
                <w:w w:val="90"/>
                <w:vertAlign w:val="superscript"/>
              </w:rPr>
              <w:t>(1)</w:t>
            </w:r>
          </w:p>
        </w:tc>
        <w:tc>
          <w:tcPr>
            <w:tcW w:w="14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(“TSR”)</w:t>
            </w:r>
            <w:r>
              <w:rPr>
                <w:rFonts w:ascii="Times New Roman" w:cs="Times New Roman" w:eastAsia="Times New Roman" w:hAnsi="Times New Roman"/>
                <w:sz w:val="29"/>
                <w:szCs w:val="29"/>
                <w:b w:val="1"/>
                <w:bCs w:val="1"/>
                <w:color w:val="auto"/>
                <w:w w:val="93"/>
                <w:vertAlign w:val="superscript"/>
              </w:rPr>
              <w:t>(2)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0" w:type="dxa"/>
            <w:vAlign w:val="bottom"/>
          </w:tcPr>
          <w:p>
            <w:pPr>
              <w:spacing w:after="0"/>
              <w:rPr>
                <w:sz w:val="1"/>
                <w:szCs w:val="1"/>
                <w:color w:val="auto"/>
              </w:rPr>
            </w:pPr>
          </w:p>
        </w:tc>
      </w:tr>
      <w:tr>
        <w:trPr>
          <w:trHeight w:val="216"/>
        </w:trPr>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62,195</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(4,286,114)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323,798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270,703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34"/>
        </w:trPr>
        <w:tc>
          <w:tcPr>
            <w:tcW w:w="2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62,195</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(49,087,719)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386,760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CEO, Mr. David Fischel, who was our Principal Executive Officer or “PEO” for each of the years shown, and the average compensation actually paid to our CFO, Ms. Peery, as our remaining NEO or “Non-PEO NEO” for the relevant fiscal year. Amounts were computed in accordance with Item 402(v) of Regulation S-K and do not reflect the actual amount of compensation earned by or paid to Mr. Fischel or Ms. Peery during the applicable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represent the Summary Compensation Table Total Compensation for the applicable fiscal year adjusted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1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Average non-</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Average non-</w:t>
            </w:r>
          </w:p>
        </w:tc>
        <w:tc>
          <w:tcPr>
            <w:tcW w:w="100" w:type="dxa"/>
            <w:vAlign w:val="bottom"/>
          </w:tcPr>
          <w:p>
            <w:pPr>
              <w:spacing w:after="0"/>
              <w:rPr>
                <w:sz w:val="16"/>
                <w:szCs w:val="16"/>
                <w:color w:val="auto"/>
              </w:rPr>
            </w:pPr>
          </w:p>
        </w:tc>
      </w:tr>
      <w:tr>
        <w:trPr>
          <w:trHeight w:val="245"/>
        </w:trPr>
        <w:tc>
          <w:tcPr>
            <w:tcW w:w="4840" w:type="dxa"/>
            <w:vAlign w:val="bottom"/>
          </w:tcPr>
          <w:p>
            <w:pPr>
              <w:spacing w:after="0"/>
              <w:rPr>
                <w:sz w:val="21"/>
                <w:szCs w:val="21"/>
                <w:color w:val="auto"/>
              </w:rPr>
            </w:pPr>
          </w:p>
        </w:tc>
        <w:tc>
          <w:tcPr>
            <w:tcW w:w="17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PEO</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PEO NEOs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PEO</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PEO NEOs</w:t>
            </w:r>
          </w:p>
        </w:tc>
      </w:tr>
      <w:tr>
        <w:trPr>
          <w:trHeight w:val="184"/>
        </w:trPr>
        <w:tc>
          <w:tcPr>
            <w:tcW w:w="48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Deduction for ASC 718 Fair Value as of Grant Date Reported</w:t>
            </w:r>
          </w:p>
        </w:tc>
        <w:tc>
          <w:tcPr>
            <w:tcW w:w="1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the Stock Awards and Option Awards Columns in the</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(134,920)</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(72,040)</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Year End Fair Value of Outstanding and Unvested Equity</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Granted in the Year</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46,680</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42,880</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as of Vesting Date of Equity Awards Granted and</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in the Year</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Year over Year Change in Fair Value of Outstanding and</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Equity Awards Granted in Prior Years</w:t>
            </w: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(49,149,914)</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(109,265)</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(4,348,309)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(12,967)</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Year over Year Change in Fair Value of Equity Awards</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 Prior Years that Vested in the Year</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(94,872)</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(10,968)</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at the End of the Prior Year of Equity Awards that</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Failed to Meet Vesting Conditions in the Year</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Dividends or other Earnings Paid on Stock or Option</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not Otherwise Reflected in Fair Value or Total</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(49,149,914)</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(292,377)</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(4,348,309)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(53,095)</w:t>
            </w:r>
          </w:p>
        </w:tc>
      </w:tr>
      <w:tr>
        <w:trPr>
          <w:trHeight w:val="439"/>
        </w:trPr>
        <w:tc>
          <w:tcPr>
            <w:tcW w:w="4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equity awards granted to our PEO include performance-based stock units (PSU). The change in fair values of those PSUs included in the compensation actually paid to our PEO are calculated at the required measurement dates using a Black-Scholes model to approximate the change in fair value. Changes to the PSU fair value from the grant date are based on our updated stock price at the respective measurement dates, in addition to remaining life of the grant, implied volatility of our stock over the remaining grant life, and risk-free rate assumptions. For all years presented, the meaningful increases or decreases in the year-end stock option fair value from the fair value on the grant date were primarily driven by changes in the stock price.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equity awards to our Non-PEO NEOs include incentive stock options. The change in fair values of those options include in the compensation actually paid to our Non-PEO NEOs are calculated at the required measurement dates, consistent with the approach used to value the awards at the grant date as described in our Annual Report on Form 10-K for the year ended December 31, 2023. Changes to the stock option fair values are based on the updated stock price at the respective measurement dates, in addition to updated expected option term, implied volatility of our stock over the updated expected option term, and risk-free rate assumptions. For all years presented, the meaningful increases or decreases in the year-end stock option fair value from the fair value on the grant date were primarily driven by changes in the stock price.</w:t>
      </w:r>
    </w:p>
    <w:p>
      <w:pPr>
        <w:spacing w:after="0" w:line="187" w:lineRule="exact"/>
        <w:rPr>
          <w:sz w:val="20"/>
          <w:szCs w:val="20"/>
          <w:color w:val="auto"/>
        </w:rPr>
      </w:pPr>
    </w:p>
    <w:p>
      <w:pPr>
        <w:jc w:val="both"/>
        <w:ind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2022 or 2023.</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consolidated audited financial statements for the applicable year.</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22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8"/>
          <w:szCs w:val="18"/>
          <w:color w:val="auto"/>
        </w:rPr>
        <w:t>Between 2022 and 2023, our net loss increased. The compensation actually paid for both our PEO and non-PEO NEOs as computed in accordance with Item 402(v) of Regulation S-K increased reflecting the reduced decline in stock price during 2023 as compared to the more significant decline in stock price during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27"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8"/>
          <w:szCs w:val="18"/>
          <w:color w:val="auto"/>
        </w:rPr>
        <w:t>As shown in the following graph, the compensation actually paid to Mr. Fischel and the average amount of compensation actually paid to our named executive officers as a group (excluding Mr. Fischel) during the periods presented are not correlated. Although we have not historically aligned executive compensation with TSR, our stock incentive programs, which are an integral part of our executive compensation program, are tied to company performance because they provide value only if the market price of our common stock increases and if the executive officer continues in our employment over the vesting period. These stock awards strongly align our executive officers’ interests with those of our shareholders by providing a continuing financial incentive to maximize long-term value for our shareholders and by encouraging our executive officers to continue in our employment for the long-term. Additionally, part of the compensation of our named executive officers other than our PEO consists of annual performance-based cash bonuses which are designed to provide appropriate incentives to our executives to achieve defined annual corporate goals and to reward our executives for individual achievement towards these goals. See the Executive Compensation section for a complete discussion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131445</wp:posOffset>
            </wp:positionV>
            <wp:extent cx="5743575" cy="3497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357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66"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discloses information as of December 31, 2023, regarding securities to be issued upon the exercise of outstanding options, warrants and rights under equity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63"/>
        </w:trPr>
        <w:tc>
          <w:tcPr>
            <w:tcW w:w="54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2"/>
          </w:tcPr>
          <w:p>
            <w:pPr>
              <w:jc w:val="center"/>
              <w:ind w:right="420"/>
              <w:spacing w:after="0" w:line="256" w:lineRule="exact"/>
              <w:rPr>
                <w:sz w:val="20"/>
                <w:szCs w:val="20"/>
                <w:color w:val="auto"/>
              </w:rPr>
            </w:pPr>
            <w:r>
              <w:rPr>
                <w:rFonts w:ascii="Times New Roman" w:cs="Times New Roman" w:eastAsia="Times New Roman" w:hAnsi="Times New Roman"/>
                <w:sz w:val="18"/>
                <w:szCs w:val="18"/>
                <w:b w:val="1"/>
                <w:bCs w:val="1"/>
                <w:color w:val="auto"/>
                <w:w w:val="93"/>
              </w:rPr>
              <w:t>Rights</w:t>
            </w:r>
            <w:r>
              <w:rPr>
                <w:rFonts w:ascii="Times New Roman" w:cs="Times New Roman" w:eastAsia="Times New Roman" w:hAnsi="Times New Roman"/>
                <w:sz w:val="29"/>
                <w:szCs w:val="29"/>
                <w:b w:val="1"/>
                <w:bCs w:val="1"/>
                <w:color w:val="auto"/>
                <w:w w:val="93"/>
                <w:vertAlign w:val="superscript"/>
              </w:rPr>
              <w:t>(2)</w:t>
            </w:r>
          </w:p>
        </w:tc>
        <w:tc>
          <w:tcPr>
            <w:tcW w:w="17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b w:val="1"/>
                <w:bCs w:val="1"/>
                <w:color w:val="auto"/>
                <w:w w:val="88"/>
              </w:rPr>
              <w:t xml:space="preserve">(a)) </w:t>
            </w:r>
            <w:r>
              <w:rPr>
                <w:rFonts w:ascii="Times New Roman" w:cs="Times New Roman" w:eastAsia="Times New Roman" w:hAnsi="Times New Roman"/>
                <w:sz w:val="29"/>
                <w:szCs w:val="29"/>
                <w:b w:val="1"/>
                <w:bCs w:val="1"/>
                <w:color w:val="auto"/>
                <w:w w:val="88"/>
                <w:vertAlign w:val="superscript"/>
              </w:rPr>
              <w:t>(3)</w:t>
            </w:r>
          </w:p>
        </w:tc>
      </w:tr>
      <w:tr>
        <w:trPr>
          <w:trHeight w:val="216"/>
        </w:trPr>
        <w:tc>
          <w:tcPr>
            <w:tcW w:w="5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5,152,246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15,690,393</w:t>
            </w:r>
          </w:p>
        </w:tc>
      </w:tr>
      <w:tr>
        <w:trPr>
          <w:trHeight w:val="23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5,152,246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15,690,393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1,502,131 shares issuable pursuant to RSUs under our compensation program for non-employee directors, for which the service period has been completed but which will vest and become issuable in the future on the earliest to occur of (i) the fifth anniversary of the date of the award, (ii) the date on which the Board service of the director terminates, or (iii) a “change of control” of the Company, as defined in the award agreement. See “Director Compensation—Director Compensation Policy” above.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issuable upon vesting of restricted share units are not included in the weighted average computation.</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13,000,000 shares issuable pursuant to performance based RSUs under the 2021 CEO Performance Share Unit Award Plan which was approved by our shareholders at our May 20, 2021, annual meeting. As of December 31, 2023, no milestones have been achieved under the 2021 CEO Performance Share Unit Award Plan and accordingly no shares have been issued.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award agreements under our 2002 Stock Incentive Plan, 2012 Stock Incentive Plan, 2022 Stock Incentive Plan, and the 2021 CEO Performance Share Unit Award Plan (collectively, the “Plans”) provide for the acceleration of certain equity awards in the event of termination of the employee’s employment due to a change of control of the Company. The provisions under the award agreements are generally applicable to awards granted to all participants in the Plan, including the Named Executive Officers. We have described those provisions generally below. Additionally, under certain stock incentive plans, in the event of a change of control of the Company, the Compensation Committee has the discretion to provide for termination of awards in exchange for cash payments or the issuance of substitute awards. Benefits or payments under other plans and arrangements that are generally available to the Company’s employees on similar terms are not described.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awards under the Stock Incentive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awards do not generally accelerate in connection with the retirement, resignation, or other termination of employment (i.e., voluntary termination, termination for cause or involuntary termination) of any of the participants. In addition, none of the equity awards under the 2002 Stock Incentive Plan, 2012 Stock Incentive Plan, or 2022 Stock Incentive Plan accelerate in the event of termination by death or disability. SARs and options could be exercised for specified periods following retirement, death, or disability.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with respect to the beneficial ownership of our common stock as of March 18, 2024, by:</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person known by us to own beneficially more than 5% of our outstanding common stock;</w:t>
      </w:r>
    </w:p>
    <w:p>
      <w:pPr>
        <w:spacing w:after="0" w:line="2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were 82,128,762 shares of common stock and 21,908 shares of Series A Convertible Preferred Stock outstanding as of March 18, 2024. Each share of our Series A Convertible Preferred Stock is convertible into 2,228 shares of our common stock (or an aggregate 22,094,988 of shares), subject to specified beneficial ownership limitations. Unless otherwise indicated, the table below includes the number of shares underlying options that are currently exercisable or exercisable within 60 days after March 18, 2024, the number of shares that may be issuable upon vesting of restricted share units within 60 days after March 18, 2024, and the number of shares of common stock into which the shares of Series A Convertible Preferred Stock are convertible within 60 days after March 18, 2024, in each case subject to the beneficial ownership limitations described in the footnotes below. Such shares are considered outstanding and beneficially owned by the person holding the options, restricted share units, or shares of Series A Convertible Preferred Stock for the purposes of computing beneficial ownership of that person but are not treated as outstanding for the purpose of computing the percentage ownership of any other person. To our knowledge, except as set forth in the footnotes to this table and subject to applicable community property laws, where applicable, each person named in the table has sole voting and investment power with respect to the shares set forth opposite such person’s name. Except as otherwise indicated, the address of each of the persons in this table is as follows: c/o Stereotaxis, Inc., 710 North Tucker Boulevard, Suite 110, St. Louis, Missouri 63101.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 of shares</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r>
      <w:tr>
        <w:trPr>
          <w:trHeight w:val="245"/>
        </w:trPr>
        <w:tc>
          <w:tcPr>
            <w:tcW w:w="74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of Common Stock</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shareholders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8"/>
        </w:trPr>
        <w:tc>
          <w:tcPr>
            <w:tcW w:w="74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 xml:space="preserve">2012 Revocable Trust of Andrew Redleaf </w:t>
            </w:r>
            <w:r>
              <w:rPr>
                <w:rFonts w:ascii="Times New Roman" w:cs="Times New Roman" w:eastAsia="Times New Roman" w:hAnsi="Times New Roman"/>
                <w:sz w:val="27"/>
                <w:szCs w:val="27"/>
                <w:color w:val="auto"/>
                <w:vertAlign w:val="superscript"/>
              </w:rPr>
              <w:t>(1)</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3033 Excelsior Boulevard</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Minneapolis, MN 55416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7,563,498</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r>
      <w:tr>
        <w:trPr>
          <w:trHeight w:val="238"/>
        </w:trPr>
        <w:tc>
          <w:tcPr>
            <w:tcW w:w="740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 xml:space="preserve">Joseph Kiani Dynasty Trust </w:t>
            </w:r>
            <w:r>
              <w:rPr>
                <w:rFonts w:ascii="Times New Roman" w:cs="Times New Roman" w:eastAsia="Times New Roman" w:hAnsi="Times New Roman"/>
                <w:sz w:val="27"/>
                <w:szCs w:val="27"/>
                <w:color w:val="auto"/>
                <w:vertAlign w:val="superscript"/>
              </w:rPr>
              <w:t>(2)</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 Discovery</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Irvine, CA 92618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8,432,279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r>
        <w:trPr>
          <w:trHeight w:val="238"/>
        </w:trPr>
        <w:tc>
          <w:tcPr>
            <w:tcW w:w="74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Arbiter Partners QP, L.P.</w:t>
            </w:r>
            <w:r>
              <w:rPr>
                <w:rFonts w:ascii="Times New Roman" w:cs="Times New Roman" w:eastAsia="Times New Roman" w:hAnsi="Times New Roman"/>
                <w:sz w:val="27"/>
                <w:szCs w:val="27"/>
                <w:color w:val="auto"/>
                <w:vertAlign w:val="superscript"/>
              </w:rPr>
              <w:t>(3)</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530 Fifth Avenue, 20th Fl.</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4,168,736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r>
      <w:tr>
        <w:trPr>
          <w:trHeight w:val="238"/>
        </w:trPr>
        <w:tc>
          <w:tcPr>
            <w:tcW w:w="740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 xml:space="preserve">DAFNA Capital Management, LLC </w:t>
            </w:r>
            <w:r>
              <w:rPr>
                <w:rFonts w:ascii="Times New Roman" w:cs="Times New Roman" w:eastAsia="Times New Roman" w:hAnsi="Times New Roman"/>
                <w:sz w:val="27"/>
                <w:szCs w:val="27"/>
                <w:color w:val="auto"/>
                <w:vertAlign w:val="superscript"/>
              </w:rPr>
              <w:t>(4)</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10990 Wilshire Boulevard, Suite 1400</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90024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13,680,554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W. Benfer </w:t>
            </w:r>
            <w:r>
              <w:rPr>
                <w:rFonts w:ascii="Times New Roman" w:cs="Times New Roman" w:eastAsia="Times New Roman" w:hAnsi="Times New Roman"/>
                <w:sz w:val="29"/>
                <w:szCs w:val="29"/>
                <w:color w:val="auto"/>
                <w:vertAlign w:val="superscript"/>
              </w:rPr>
              <w:t>(5)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463,304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Fischel</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Nathan Fischel, M.D. </w:t>
            </w:r>
            <w:r>
              <w:rPr>
                <w:rFonts w:ascii="Times New Roman" w:cs="Times New Roman" w:eastAsia="Times New Roman" w:hAnsi="Times New Roman"/>
                <w:sz w:val="29"/>
                <w:szCs w:val="29"/>
                <w:color w:val="auto"/>
                <w:vertAlign w:val="superscript"/>
              </w:rPr>
              <w:t>(6)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13,815,054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16.82%</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Myriam Curet, M.D.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Arun S. Menawat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449,285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Messey</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175,818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 Levin</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34,973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Kimberly R. Peery </w:t>
            </w:r>
            <w:r>
              <w:rPr>
                <w:rFonts w:ascii="Times New Roman" w:cs="Times New Roman" w:eastAsia="Times New Roman" w:hAnsi="Times New Roman"/>
                <w:sz w:val="29"/>
                <w:szCs w:val="29"/>
                <w:color w:val="auto"/>
                <w:vertAlign w:val="superscript"/>
              </w:rPr>
              <w:t>(7)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159,067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15,237,501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Indicates ownership of less than 1%</w:t>
      </w:r>
    </w:p>
    <w:p>
      <w:pPr>
        <w:spacing w:after="0" w:line="252" w:lineRule="exact"/>
        <w:rPr>
          <w:sz w:val="20"/>
          <w:szCs w:val="20"/>
          <w:color w:val="auto"/>
        </w:rPr>
      </w:pPr>
    </w:p>
    <w:p>
      <w:pPr>
        <w:jc w:val="both"/>
        <w:ind w:left="340" w:hanging="332"/>
        <w:spacing w:after="0" w:line="257"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Includes 4,486,575 shares of common stock issuable upon conversion of Series A Convertible Preferred Stock. The conversion of the Series A Convertible Preferred Stock is restricted to the extent that, upon such conversion, the number of shares of common stock then beneficially owned by the holder of such securities and its affiliates would exceed 9.99% of our common stock then outstanding.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Joe Kiani on June 9, 2021, and the Company’s records. Excludes 6,694,718 shares of common stock issuable upon conversion of Series A Convertible Preferred Stock held by the Joseph Kiani Dynasty Trust. The conversion of the Series A Convertible Preferred Stock is restricted to the extent that, upon such conversion, the number of shares of common stock then beneficially owned by the holder of such securities and its affiliates would exceed 9.99% of our common stock then outstanding.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Schedule 13F filed by Arbiter Partners Capital Management LLC on February 12, 2024. Excludes 5,316,820 shares of common stock issuable upon conversion of Series A Convertible Preferred Stock held by Arbiter. The conversion of the Series A Convertible Preferred Stock is restricted to the extent that, upon such conversion or exercise, the number of shares of common stock then beneficially owned by the holder of such securities and its affiliates would exceed 4.99% of our common stock then outstanding.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13D filed on March 8, 2018 by DAFNA Capital Management, LLC, in its capacity as investment adviser to DAFNA LifeScience Ltd., DAFNA LifeScience Market Neutral Ltd., and DAFNA LifeScience Select Ltd. (collectively, the “Funds”), each of which entities is a Cayman Islands exempted company. In such capacity, DAFNA Capital Management, LLC may be deemed to be the beneficial owner of the shares of our common stock owned by the Funds, as in its capacity as investment adviser it has the power to dispose, direct the disposition of, and vote our shares owned by the Funds. Nathan Fischel and Fariba Ghodsian are part-owners of DAFNA Capital Management and managing members. As controlling persons of DAFNA Capital Management, they may be deemed to beneficially own the shares of our common stock owned by the Funds. Pursuant to Rule 13d-4, Drs. Fischel and Ghodsian disclaim beneficial ownership of the securities owned by the Funds. This amount excludes an aggregate of 17,946,301 shares of common stock issuable upon conversion of Series A Convertible Preferred Stock. The</w:t>
      </w:r>
    </w:p>
    <w:p>
      <w:pPr>
        <w:sectPr>
          <w:pgSz w:w="11900" w:h="16838" w:orient="portrait"/>
          <w:cols w:equalWidth="0" w:num="1">
            <w:col w:w="11240"/>
          </w:cols>
          <w:pgMar w:left="320" w:top="684" w:right="339" w:bottom="0" w:gutter="0" w:footer="0" w:header="0"/>
        </w:sectPr>
      </w:pPr>
    </w:p>
    <w:bookmarkStart w:id="24" w:name="page25"/>
    <w:bookmarkEnd w:id="24"/>
    <w:p>
      <w:pPr>
        <w:ind w:left="340"/>
        <w:spacing w:after="0" w:line="261" w:lineRule="auto"/>
        <w:rPr>
          <w:sz w:val="20"/>
          <w:szCs w:val="20"/>
          <w:color w:val="auto"/>
        </w:rPr>
      </w:pPr>
      <w:r>
        <w:rPr>
          <w:rFonts w:ascii="Times New Roman" w:cs="Times New Roman" w:eastAsia="Times New Roman" w:hAnsi="Times New Roman"/>
          <w:sz w:val="18"/>
          <w:szCs w:val="18"/>
          <w:color w:val="auto"/>
        </w:rPr>
        <w:t>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2,700 shares of common stock held by Mr. Benfer’s spouse, and 210,255 shares of common stock held by the Benfer Family Trust TTEE.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13,680,554 shares of common stock held by DAFNA Capital Management, LLC, in its capacity as investment advisor to DAFNA LifeScience Ltd., DAFNA LifeScience Market Neutral Ltd., and DAFNA LifeScience Select Ltd. (collectively, the “Funds”). This number of shares excludes an aggregate of 17,946,301 shares of common stock issuable upon conversion of Series A Convertible Preferred Stock held by the Funds. Dr. Fischel disclaims beneficial ownership of the shares and warrants owned by the Funds. The 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155,750 shares of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three non-employee directors serve on the Audit Committee. Each is independent as defined by Section 803 of the NYSE American Company Guide and Rule 10-A-3(b)(1) of the Securities Exchange Act of 1934. The Board has adopted a written charter for the Audit Committee, which is posted on our website at www.stereotaxis.com, Investors, Governance.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assists the Board in providing oversight of our accounting and financial reporting process. Management has the primary responsibility for the financial statements and the reporting process, including our systems of internal control. Our independent registered public accountants are responsible for performing an independent audit of our financial statements in accordance with auditing standards generally accepted in the United States and expressing an opinion on the conformity of those financial statements with U.S. generally accepted accounting principles. The audit included consideration of internal control over financial reporting as a basis for designing audit procedures that are appropriate in the circumstances. In addition, the Company engages another accounting firm for assistance with internal audit services and their analysis is provided to the Committee.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reviews with management the Company’s major financial risk exposures and the steps management has taken to monitor, mitigate, and control such exposures. Management has the responsibility for the implementation of these activities. In fulfilling its oversight responsibilities, the committee reviewed and discussed the audited financial statements to be included in the Annual Report on Form 10-K for the year ended December 31, 2023, with management, including a discussion of the quality and the acceptability of our financial reporting practices and the internal controls over financial reporting.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also discussed with the Company’s internal audit service provider and the independent registered public accounting firm in advance the overall scope and plans for their respective audits. The committee meets regularly with the internal audit service provider and the independent registered public accounting firm, with and without management present, to discuss the results of their examinations, their evaluations of the Company’s internal controls, and the overall quality of the Company’s financial reporting.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that the audited financial statements be included in our Annual Report on Form 10-K for the fiscal year ended December 31, 2023, for filing with the SEC. Submitted by the Audit Committee of the Board of Directors:</w:t>
      </w:r>
    </w:p>
    <w:p>
      <w:pPr>
        <w:spacing w:after="0" w:line="17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Ross Levin, Chair</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David W. Benfer</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Robert J. Messey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 of the Audit Committee will not be deemed incorporated by reference by any general statement incorporating by reference this proxy statement or portions thereof into any filing under the Securities Act of 1933 or the Securities Exchange Act of 1934, except to the extent that we specifically incorporate by reference the Audit Committee report and will not otherwise be deemed filed under such Acts.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bylaws, the number of directors of the Company may be fixed or changed from time to time by resolution of a majority of the Board of Directors, provided the number shall be no less than three and no more than fifteen. Currently, the Board has set the number of directors of the Company at nine. The directors are divided into three classes: Class I, Class II and Class III, each class to be as nearly equal in number as possible. The directors in each class are elected for a term of three years. Currently, there is one vacancy in Class II and one vacancy in Class III.</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are being asked to elect one (1) Director, Mr. David Fischel as Class II director, to serve until the 2027 Annual Meeting and until his successor is duly elected and qualified. As noted above, Mr. Messey has requested not to be renominated for election to the Board, the Board has determined not to renominate Mr. Messey, and his term will conclude at the 2024 Annual Meeting. As a result, there will be a second vacancy in Class II as of the 2024 Annual Meeting, which the Board intends to fill by appointment in the coming months. No candidate has been identified. If a candidate is not identified and appointed reasonably promptly, the directors intend to adjust the membership of the director classes so that the six remaining directors are divided into three classes with two members each.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does not contemplate that the nominee will be unable to stand for election, but should the nominee become unable to serve or for good cause will not serve, all proxies (except proxies marked to the contrary) will be voted for the election of a substitute nominee recommended by our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ELECTION OF THE NAMED NOMINEE AS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REGISTERED PUBLIC ACCOUNTANTS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pursuant to its charter, has appointed Ernst &amp; Young LLP as the Company’s independent registered public accountants to examine the financial statements of the Company for our 2024 fiscal year.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Audit Committee is responsible for the appointment, compensation, retention, termination and oversight of the independent registered public accounting firm, the Audit Committee and our Board are requesting, as a matter of policy, that the shareholders ratify the appointment of Ernst &amp; Young LLP as the Company’s independent registered public accountants for 2024. The Audit Committee is not required to take any action as a result of the outcome of the vote on this proposal. However, if the shareholders do not ratify the appointment, the Audit Committee may investigate the reasons for shareholder rejection and may consider whether to retain Ernst &amp; Young LLP or to appoint another firm. Furthermore,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by proxy and entitled to vote at the Annual Meeting will be required to ratify the selection of Ernst &amp; Young LLP.</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RATIFICATION OF THE APPOINTMENT OF ERNST &amp; YOUNG LLP AS THE COMPANY’S INDEPENDENT REGISTERED PUBLIC ACCOUNTING FIRM FOR FISCAL YEAR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PROPOSAL 3: APPROVAL OF AN AMENDMENT TO THE STEREOTAXIS, INC. 2022 STOCK INCENTIVE PLAN</w:t>
      </w:r>
    </w:p>
    <w:p>
      <w:pPr>
        <w:spacing w:after="0" w:line="229" w:lineRule="exact"/>
        <w:rPr>
          <w:sz w:val="20"/>
          <w:szCs w:val="20"/>
          <w:color w:val="auto"/>
        </w:rPr>
      </w:pPr>
    </w:p>
    <w:p>
      <w:pPr>
        <w:jc w:val="both"/>
        <w:ind w:firstLine="66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long-term incentive compensation programs align the interests of management, employees and the shareholders to create long-term shareholder value. The Board believes that plans such as the Plan increase our ability to achieve this objective by allowing for several different forms of long-term incentive awards, which the Board believes will help us recruit, reward, motivate and retain talented personnel.</w:t>
      </w:r>
    </w:p>
    <w:p>
      <w:pPr>
        <w:spacing w:after="0" w:line="176"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In February 2022, our Compensation Committee and our Board of Directors adopted and revised the Stereotaxis, Inc. 2022 Stock Incentive Plan (“2022 Stock Incentive Plan” or the “Plan”), which was approved by our shareholders in May 2022. As of December 31, 2023, a total of 4,107,114 shares of common stock have been authorized for issuance under the Plan. As of December 31, 2023, awards of approximately 5,152,246 shares of common stock were issued and outstanding under both the former 2012 Stock Incentive Plan and the 2022 Stock Incentive Plan, and approximately 2,690,393 shares of common stock would be available for future awards under the Plan.</w:t>
      </w:r>
    </w:p>
    <w:p>
      <w:pPr>
        <w:spacing w:after="0" w:line="183" w:lineRule="exact"/>
        <w:rPr>
          <w:sz w:val="20"/>
          <w:szCs w:val="20"/>
          <w:color w:val="auto"/>
        </w:rPr>
      </w:pPr>
    </w:p>
    <w:p>
      <w:pPr>
        <w:jc w:val="both"/>
        <w:ind w:firstLine="660"/>
        <w:spacing w:after="0" w:line="266" w:lineRule="auto"/>
        <w:rPr>
          <w:sz w:val="20"/>
          <w:szCs w:val="20"/>
          <w:color w:val="auto"/>
        </w:rPr>
      </w:pPr>
      <w:r>
        <w:rPr>
          <w:rFonts w:ascii="Times New Roman" w:cs="Times New Roman" w:eastAsia="Times New Roman" w:hAnsi="Times New Roman"/>
          <w:sz w:val="18"/>
          <w:szCs w:val="18"/>
          <w:color w:val="auto"/>
        </w:rPr>
        <w:t>In February 2024, our Board of Directors approved a proposal to amend the 2022 Stock Incentive Plan to increase the shares authorized for issuance thereunder by 4,000,000 shares. We expect that the current amendment would provide sufficient shares to allow several years of awards to our employees and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seeking shareholder approval of this amendment to the 2022 Stock Incentive Plan.</w:t>
      </w:r>
    </w:p>
    <w:p>
      <w:pPr>
        <w:spacing w:after="0" w:line="225" w:lineRule="exact"/>
        <w:rPr>
          <w:sz w:val="20"/>
          <w:szCs w:val="20"/>
          <w:color w:val="auto"/>
        </w:rPr>
      </w:pPr>
    </w:p>
    <w:p>
      <w:pPr>
        <w:jc w:val="both"/>
        <w:ind w:firstLine="660"/>
        <w:spacing w:after="0" w:line="266" w:lineRule="auto"/>
        <w:rPr>
          <w:sz w:val="20"/>
          <w:szCs w:val="20"/>
          <w:color w:val="auto"/>
        </w:rPr>
      </w:pPr>
      <w:r>
        <w:rPr>
          <w:rFonts w:ascii="Times New Roman" w:cs="Times New Roman" w:eastAsia="Times New Roman" w:hAnsi="Times New Roman"/>
          <w:sz w:val="18"/>
          <w:szCs w:val="18"/>
          <w:color w:val="auto"/>
        </w:rPr>
        <w:t xml:space="preserve">Set forth below is a summary of the material provisions of the 2022 Stock Incentive Plan, including the number of authorized shares requested for approval and material features in the Plan. The summary of the provisions below is qualified in its entirety by the full text of the 2022 Plan, a copy of which is included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xml:space="preserve">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Material Provisions of the 2022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 of the Plan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Plan will terminate ten years after the date on which the Board approved the Plan and no awards will be granted after the expiration of such ten-year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Eligible Participant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director or employee of the Company, or its subsidiaries, as well as any individual providing services to the Company may be selected to receive an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Administration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is administered by the Board of Directors through a committee appointed by the Board. The Compensation Committee administers the Plan. Every member of the Compensation Committee is (i) a “Non-Employee Director” within the meaning of Rule 16b-3 of the Exchange Act, and (ii) an “Independent Director” for purposes of the rules and regulations of the NYSE American Market.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has full power to determine persons eligible to participate in the Plan, to interpret the Plan, to adopt the rules, regulations and guidelines necessary or proper to carry out the Plan and to determine the type and terms of any awards to be granted. The specific terms, conditions, performance requirements, limitations and restrictions of any award will be set forth in an award agreement, entered into between the Company and a participant.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Shares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Currently, the number of shares of stock authorized for issuance under the 2022 Stock Incentive Plan is up to four million one hundred seven thousand one hundred fourteen (4,107,114). We are seeking shareholder approval for an increase of 4,000,000 shares, or 8,107,114 in the aggregate to be authorized for issuance. As noted above, certain of the shares currently authorized for issuance are subject to outstanding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award under the Plan may be a stock option, either qualified or nonqualified, a stock appreciation right, a performance share, restricted stock or other cash-based or stock-based awards.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Compensation Committee is able to grant nonqualified stock options and incentive stock options under the 2022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The exercise price of an incentive stock option may not be less than 100% of the fair market value of the common stock on the date the option is granted (110% in the case of a 10% shareholder), and the exercise price of a nonqualified option must be determined by the committee but may not be less than 100% of the fair market value of the common stock on the date the option is granted. As our common stock is listed on the NYSE American Market, the fair market value is the per share closing sale price for the common stock (or the average of the closing bid and asked prices if no sales were reported that day) on the date the option is granted.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Compensation Committee may grant stock appreciation rights under the Plan. Stock appreciation rights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receive the appreciation in fair market value of common stock between the exercise date and the date of grant. We can pay the appreciation in either cash, shares of our common stock, or a combination thereof. Stock appreciation rights will become exercisable at the times and on the terms established by the committee, subject to the terms of the 2022 Stock Incentive Plan.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Performance Shares</w:t>
      </w:r>
      <w:r>
        <w:rPr>
          <w:rFonts w:ascii="Times New Roman" w:cs="Times New Roman" w:eastAsia="Times New Roman" w:hAnsi="Times New Roman"/>
          <w:sz w:val="18"/>
          <w:szCs w:val="18"/>
          <w:color w:val="auto"/>
        </w:rPr>
        <w:t>. A performance share award is an award denominated in units of stock, which will provide for payment of stock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goals are achieved over specified performance periods. Once the performance share award vests, the participant will be entitled to payout of the value of the award in shares of common stock.</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Restricted stock is an award of common stock granted subject to restrictions on transfer and vesting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The committee will have complete discretion to determine (i) the number of shares subject to a restricted stock award granted to any participant and (ii) the conditions for grant or for vesting that must be satisfied, which typically will be based principally or solely on continued service to us but may include a performance-based component. Shares of common stock granted under any restricted stock award may not be sold, transferred, pledged, assigned or otherwise alienated or hypothecated until all applicable restrictions are removed or have expired.</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 and Cash-Based Award. </w:t>
      </w:r>
      <w:r>
        <w:rPr>
          <w:rFonts w:ascii="Times New Roman" w:cs="Times New Roman" w:eastAsia="Times New Roman" w:hAnsi="Times New Roman"/>
          <w:sz w:val="18"/>
          <w:szCs w:val="18"/>
          <w:color w:val="auto"/>
        </w:rPr>
        <w:t>The Plan provides that awards of common stock, including fully vested stock grants,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valued in whole or in part by reference to the fair market value of common stock may also be made under the Plan in the form of other stock-based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Counting Rules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shares of stock tendered by a participant as full or partial payment to the Company to satisfy a purchase price of an award, any shares subject to an award under the Plan which are withheld to satisfy an applicable tax withholding, or any shares covered by a stock appreciation right which is settled for a lesser number of shares will not become available for issuance under the Plan. However, any awards, which by their terms may only be settled in cash, do not reduce the number of shares available for issuance.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 of Stock Options and Stock Appreciation Rights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maximum term of 10 years from the date of grant is set for all stock options and stock appreciation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Vesting Limitations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stock option and stock appreciation right will have a minimum vesting period of three years from the date of grant, provided that such vesting may occur incrementally over the three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of Control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 of control means the purchase or acquisition, by any person or group, of beneficial ownership of 35% or more of the then outstanding shares of common stock of the Company or the combined voting power of the Company’s then outstanding securities entitled to vote in an election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may provide, in its sole discretion, for the termination of an award upon consummation of a change of control in exchange for a cash amount and/or issuance of a substitute award to substantially preserve the terms of any awards previously granted under the Plan. Any change must be in a manner consistent with Internal Revenue Code Section 409A.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Restrictions on Transferability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Awards granted under the Plan are generally not transferable by the participant except by law, will or the laws of descent and distribution, or by permission of the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of Award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is specifically prohibited from amending the terms of outstanding award agreements without the approval of Company shareholders if such amendments would either reduce the exercise price of outstanding stock options or stock appreciation rights, or cancel an outstanding stock option or stock appreciation right in exchange for cash, another award, or another stock option or stock appreciation right that has an exercise price less than that of the original stock option or stock appreciation right.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or Dividend Equivalents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dividends or dividend equivalents will be paid with respect to outstanding stock-based awards that are intended to be performance-based awards, as that term is defined in the Plan, nor will dividends or dividend equivalents be paid on any outstanding stock options or stock appreciation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Anti-dilution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change in outstanding stock of the Company by reason of stock split, stock dividend, combination or reclassification of shares, or similar events, the Compensation Committee will make adjustments to numbers of shares available for issuance under the Plan and covered by outstanding awards, the exercise and grant prices relating to outstanding awards, or such other equitable adjustments as it deems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Grants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the intent of the Company to provide equity grants to our non-employee directors through the 2022 Stock Incentive Plan as opposed to being provided through a separately administered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Aspects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paragraphs are a summary of the general federal income tax consequences to U.S. taxpayers and the Company of awards granted under the Plan. Tax consequences for any particular individual may be different.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Nonqualified Stock Options</w:t>
      </w:r>
      <w:r>
        <w:rPr>
          <w:rFonts w:ascii="Times New Roman" w:cs="Times New Roman" w:eastAsia="Times New Roman" w:hAnsi="Times New Roman"/>
          <w:sz w:val="18"/>
          <w:szCs w:val="18"/>
          <w:color w:val="auto"/>
        </w:rPr>
        <w:t>. No taxable income is realized when a nonqualified stock option with an exercise price equal to the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stock on the date of grant is granted to a participant. Upon exercise, the participant will recognize ordinary income in an amount by which the fair market value of the shares purchased on the date of exercise, exceeds the exercise price paid for such share. Any taxable income recognized in connection with an option exercise by an employee of the Company is subject to tax withholding by the Company. Any additional gain or loss recognized upon any later disposition of the shares would be capital gain or loss.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Incentive Stock Options</w:t>
      </w:r>
      <w:r>
        <w:rPr>
          <w:rFonts w:ascii="Times New Roman" w:cs="Times New Roman" w:eastAsia="Times New Roman" w:hAnsi="Times New Roman"/>
          <w:sz w:val="18"/>
          <w:szCs w:val="18"/>
          <w:color w:val="auto"/>
        </w:rPr>
        <w:t>. No taxable income is realized when an incentive stock option is granted or exercised (except for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minimum tax, in which case the differential between the fair market value on the date of grant and the exercise price is an alternative minimum tax preference item). If a participant exercises the option and then later sells or otherwise disposes of the shares acquired pursuant to an incentive stock option more than two years after the grant date and more than one year after the exercise date, the difference between the sale price and the exercise price will be taxed as capital gain or loss. If the participant exercises the option and then later sells or otherwise disposes of the shares before the end of the two or one-year holding periods described above, he or she generally will realize ordinary income at the time of the disposition equal to the fair market value of the shares on the exercise date (or the sale price, if less) minus the exercise price of the option.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 Appreciation Rights</w:t>
      </w:r>
      <w:r>
        <w:rPr>
          <w:rFonts w:ascii="Times New Roman" w:cs="Times New Roman" w:eastAsia="Times New Roman" w:hAnsi="Times New Roman"/>
          <w:sz w:val="18"/>
          <w:szCs w:val="18"/>
          <w:color w:val="auto"/>
        </w:rPr>
        <w:t>. No taxable income is realized when a stock appreciation right with an exercise price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underlying stock on the date of grant is granted to a participant. Upon exercise, the participant will recognize ordinary income in an amount equal to the amount of excess, if any, of the fair market value of the stock on the date of exercise over the fair market value of the stock on the date of grant. Any additional gain or loss recognized upon any later disposition of the shares would be capital gain or loss.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w:t>
      </w:r>
      <w:r>
        <w:rPr>
          <w:rFonts w:ascii="Times New Roman" w:cs="Times New Roman" w:eastAsia="Times New Roman" w:hAnsi="Times New Roman"/>
          <w:sz w:val="18"/>
          <w:szCs w:val="18"/>
          <w:color w:val="auto"/>
        </w:rPr>
        <w:t>. Unless a timely 83(b) election is made, as described in the following paragraph, a participant generally will not realize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at the time an award of restricted stock is granted. Instead, he or she will recognize ordinary income in the first taxable year in which his or her interest in the shares underlying the award becomes either (i) freely transferable, or (ii) no longer subject to substantial risk of forfeiture. The amount of ordinary income recognized will be equal to the difference between the fair market value of the shares at the time any restrictions on transferability lapse and the original purchase price paid for the shares, if any.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participant may elect, pursuant to Section 83(b) of the Internal Revenue Code, to recognize ordinary income at the time he or she is granted the award in an amount equal to the fair market value of the shares underlying the award (less the purchase price paid for the shares, if any) on the date the award is granted, notwithstanding that the restricted stock would otherwise not be includible in gross income at that time. Any change in the value of the shares after the date of grant would be taxed as a capital gain or loss if and when the shares are disposed of by the participant. If the section 83(b) election is made, the participant’s holding period for capital gains begins on the date of grant.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Performance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participant generally will not recognize taxable income upon the granting of an award of performance shares. Instead,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she will recognize ordinary income in the first taxable year in which his or her interest in the shares underlying the award becomes either (i) freely transferable, or (ii) no longer subject to substantial risk of forfeiture. The amount of ordinary income recognized will be equal to the difference between the fair market value of the shares at the time any restrictions on transferability lapse and the original purchase price paid for the shares, if any. Upon selling shares of stock received in payment under a performance share, the participant will recognize a capital gain or loss in an amount equal to the difference between the sale price of the share and the participant’s tax basis in the share.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Other Stock-Based Awards</w:t>
      </w:r>
      <w:r>
        <w:rPr>
          <w:rFonts w:ascii="Times New Roman" w:cs="Times New Roman" w:eastAsia="Times New Roman" w:hAnsi="Times New Roman"/>
          <w:sz w:val="18"/>
          <w:szCs w:val="18"/>
          <w:color w:val="auto"/>
        </w:rPr>
        <w:t>. A participant will generally recognize ordinary taxable income upon granting of a stock-based award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vesting or performance achievement criteria. Any change in the value of the shares after the date of grant would be taxed as a capital gain or loss if and when the shares are disposed of by the participant. A participant will generally recognize ordinary taxable income upon the later to occur of the granting or the vesting of a cash-based award.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Tax Effect for the Company</w:t>
      </w:r>
      <w:r>
        <w:rPr>
          <w:rFonts w:ascii="Times New Roman" w:cs="Times New Roman" w:eastAsia="Times New Roman" w:hAnsi="Times New Roman"/>
          <w:sz w:val="18"/>
          <w:szCs w:val="18"/>
          <w:color w:val="auto"/>
        </w:rPr>
        <w:t>. We generally will be entitled to a tax deduction in connection with an award under the 2022 Plan in an amount equal to the ordinary income realized by a participant and at the time the participant recognizes such income (for example, the exercise of a nonqualified stock option). Special rules limit the deductibility of compensation paid to our chief executive officer and to each of our three most highly compensated executive officers (other than the chief executive officer and, in most circumstances, our chief financial officer). Under Section 162(m), the annual compensation paid to any of these specified executives will be deductible only to the extent that it does not exceed $1,000,000. However, we can preserve the deductibility of certain compensation in excess of $1,000,000 if the conditions of Section 162(m) are met. These conditions include shareholder approval of the Plan, setting limits on the number of awards that any individual may receive and for awards other than certain stock options and establishing performance criteria that must be met before the award actually will vest or be paid. The Plan has been designed to permit the committee to grant awards that qualify as performance-based for purposes of satisfying the conditions of Section 162(m), thereby permitting us to continue to receive a federal income tax deduction in connection with such awards.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Section 409A of the Code provides certain requirements with respect to non-qualified deferred compensation arrangements. These include new requirements with respect to an individual’s election to defer compensation and the individual’s election of the timing and form of distribution of the deferred compensation. Section 409A also generally provides that distributions may only be made on or following the occurrence of certain events (e.g., the individual’s separation from service, a predetermined date, the individual’s death or a change in control). Section 409A imposes restrictions on an individual’s ability to change his or her distribution timing or form after the compensation has been deferred. For certain individuals who are “specified employees,” Section 409A requires that such individual’s distribution commence no earlier than six months after such individual’s separation from service. For purposes of Section 409A, the term “specified employee” includes officers with a certain level of compensation ($165,000 in 2013) and employees with a certain level of ownership in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1" w:name="page32"/>
    <w:bookmarkEnd w:id="31"/>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Awards granted under the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provisions of Section 409A, Section 409A imposes an additional 20% federal income tax on compensation recognized as ordinary income, as well as interest on such deferred compensation. Generally, we intend to structure any awards under the Plan to either be exempt from or meet the applicable tax law requirements under Section 409A in order to avoid its adverse tax consequences.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ONLY A SUMMARY OF CERTAIN FEDERAL INCOME TAX CONSEQUENCES TO THE PARTICIPANTS AND THE COMPANY WITH RESPECT TO THE GRANT AND EXERCISE OF AWARDS UNDER THE PLAN. IT DOES NOT PURPORT TO BE COMPLETE AND DOES NOT DISCUSS THE TAX CONSEQUENCES OF A PARTICIPANT’S DEATH OR THE PROVISIONS OF THE INCOME TAX LAWS OF ANY MUNICIPALITY, STATE OR FOREIGN COUNTRY IN WHICH THE PARTICIPANT MAY RESIDE.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adopted Statement of Financial Accounting Standards (“SFAS”) No. 123 (revised 2004), “Share-Based Payment” (“SFAS 123(R)”), in the first quarter of fiscal 2006. Upon the development of the Accounting Standards Codification, this guidance was subsequently referred to as ASC Topic 718. ASC Topic 718 requires the estimated fair market value of all share-based payments to employees, including grants of employee stock options, to be recognized as expense in the statement of operations. Share-based compensation expense to be recognized would include the estimated expense for all stock awards granted on and subsequent to January 29, 2006, based on the grant date fair value estimated in accordance with the provisions of ASC Topic 718 and the estimated expense for the portion vesting in the period for options granted prior to, but not vested as of January 29, 2006, based on the grant date fair value estimated in accordance with the original provisions of ASC Topic 718.</w:t>
      </w:r>
    </w:p>
    <w:p>
      <w:pPr>
        <w:spacing w:after="0" w:line="189" w:lineRule="exact"/>
        <w:rPr>
          <w:sz w:val="20"/>
          <w:szCs w:val="20"/>
          <w:color w:val="auto"/>
        </w:rPr>
      </w:pPr>
    </w:p>
    <w:p>
      <w:pPr>
        <w:jc w:val="both"/>
        <w:ind w:firstLine="660"/>
        <w:spacing w:after="0" w:line="282" w:lineRule="auto"/>
        <w:rPr>
          <w:sz w:val="20"/>
          <w:szCs w:val="20"/>
          <w:color w:val="auto"/>
        </w:rPr>
      </w:pPr>
      <w:r>
        <w:rPr>
          <w:rFonts w:ascii="Times New Roman" w:cs="Times New Roman" w:eastAsia="Times New Roman" w:hAnsi="Times New Roman"/>
          <w:sz w:val="18"/>
          <w:szCs w:val="18"/>
          <w:color w:val="auto"/>
        </w:rPr>
        <w:t xml:space="preserve">The summary of the provisions above is qualified in its entirety by the full text of the 2022 Stock Incentive Plan. A copy of the 2022 Stock Incentive Plan as amended and restated by the proposed amendment is attached to this proxy statement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present in person or by proxy will be required to approve the amendment of the 2022 Stock Incentive Plan. Abstentions and “broker non-votes” will not be counted as having been voted on the proposal, and therefore, will have the same effect as negative votes.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and our executive officers have an interest in this proposal as they may receive awards under the 2022 Stock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jc w:val="both"/>
        <w:ind w:firstLine="660"/>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“FOR” APPROVAL OF THE AMENDMENT TO THE 2022 STOCK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AN AMENDMENT TO THE 2022 EMPLOYEE STOCK PURCHASE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Employee Stock Purchase Plan (“2022 ESPP”) was adopted by our Board of Directors and approved by our shareholders in May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2022 ESPP, eligible employees have the opportunity to purchase up to an aggregate of 203,366 shares of our common stock at a discount. Our Board believes that the 2022 ESPP is in the best interests of the Company and our shareholders, because enabling employees to own shares of common stock aligns our employees’ interests with those of our shareholders.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the Board of Directors approved a proposal to amend the 2022 ESPP to increase the number of shares authorized for issuance under the 2022 ESPP by 250,000 shares, to 453,366. We are seeking shareholder approval of this amendment to the 2022 ESPP.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18, 2024, there were 94,300 remaining shares available for issuance under the 2022 ESPP.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Description of Material Provisions of the 2022 ESPP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Set forth below is a summary of the material provisions of the 2022 ESPP. The summary of the provisions below is qualified in its entirety by the full text of the 2022 ESPP. A copy of the 2022 ESPP is attached to this proxy statement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2022 ESPP is to provide employees of the Company and its designated subsidiaries with an opportunity to purchase our common stock through accumulated payroll deductions. It is the intention of the Company to establish the 2022 ESPP such that it will qualify as an “Employee Stock Purchase Plan” under Section 423 of the Internal Revenue Code (the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Eligibility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who is employed by the Company on a given enrollment date is eligible to participate in the plan. No participant shall be granted an option under the plan (i) to the extent that, immediately after the grant, such participant (or any other person whose stock would be attributed to such participant pursuant to Section 424(d) of the Code) would own capital stock of the Company and/or hold outstanding options to purchase such stock possessing 5% or more of the total combined voting power or value of all classes of the capital stock of the Company or of any subsidiary, or (ii) to the extent that his or her rights to purchase stock under all employee stock purchase plans of the Company and its subsidiaries accrues at a rate which exceeds $25,000 worth of stock for each calendar year in which such option is outstanding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Maximum Purchase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set a maximum number of shares of capital stock which any participant may purchase during any purchase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the number of shares of our common stock authorized for issuance under the 2022 ESPP is 203,366. We are seeking shareholder approval for an increase of 250,000 shares, or 453,366 in the aggregate to be authorized for issuance. As noted above, certain of the shares currently authorized for issuance under the 2022 ESPP have been previously issued.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Administration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2022 ESPP is administered by the Board of Directors through a committee appointed by the Board. The Board or its committee has full and exclusive discretionary authority to construe, interpret and apply the terms of the plan, to determine eligibility and to adjudicate all disputed claims filed under the plan. Every finding, decision and determination made by the Board or its committee shall, to the full extent permitted by law, be final and binding upon all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Offering Periods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is implemented by consecutive, 3 month offering periods with a new offering period commencing on the first trading day of each calendar quarter. The Board (or a committee of the Board) has the power to change the duration of offering periods (including the commencement dates thereof) with respect to future offerings without shareholder approval if such change is announced prior to the scheduled beginning of the first offering period to be affected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Grant of Option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enrollment date of each offering period, each participant participating in such offering period will be granted an option to purchase on the exercise date for such offering period up to a number of shares of the Company’s common stock determined by dividing such participant’s payroll deductions accumulated prior to such exercise date and retained in the participant’s account as of the exercise date by the applicable purchase price; provided, however, that in no event shall a participant be permitted to purchase during any calendar year more than a number of shares determined by dividing $25,000 by the fair market value of a share of the Company’s common stock on the exercise date or dates. The Board of Directors may, for future offering periods, increase or decrease, in its absolute discretion, the maximum number of shares of the Company’s common stock a participant may purchase during each purchase period of such offering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Payroll Deductions</w:t>
      </w:r>
    </w:p>
    <w:p>
      <w:pPr>
        <w:spacing w:after="0" w:line="22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At the time a participant files a subscription agreement with the Company to participate in the 2022 ESPP, he or she elects to have payroll deductions made on each pay day during the offering period in an amount not exceeding 15% of the compensation such participant receives on each pay day during the offering period. All payroll deductions made for a participant will be credited to his or her account under the plan and will be withheld in whole percentages only. A participant may not make any additional payments into such account. A participant may discontinue his or her participation in the plan effective with the first full payroll period following 5 business days after the Company’s receipt of the withdrawal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Withholding</w:t>
      </w:r>
    </w:p>
    <w:p>
      <w:pPr>
        <w:spacing w:after="0" w:line="22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is not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Price</w:t>
      </w:r>
    </w:p>
    <w:p>
      <w:pPr>
        <w:spacing w:after="0" w:line="227"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The purchase price per share at which shares of common stock are sold in an offering period under the 2022 ESPP cannot be less than 95% of the fair market value per share on the purchase date (i.e., the last business date of the offering period). The “fair market value” means, as of any given date, the closing sales price for such stock on the NYSE American for the last market trading day prior to the date of determination.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of Stock</w:t>
      </w:r>
    </w:p>
    <w:p>
      <w:pPr>
        <w:spacing w:after="0" w:line="227"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Unless a participant withdraws from the plan, his or her option for the purchase of shares will be exercised automatically on the appropriate exercise date and the maximum number of full shares subject to option will be purchased for such participant at the applicable purchase price with the accumulated payroll deductions in his or her account. No fractional shares may be purchased; any payroll deductions accumulated in a participant’s account that are not sufficient to purchase a full share will be retained in the Participant’s account for the subsequent offering period. Any other monies left over in a participant’s account after the exercise date will be returned to the participant. During a participant’s lifetime, a participant’s options are exercisable only by him or 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Withdrawal</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A participant in the plan may withdraw all but not less than all the payroll deductions credited to his or her account and not yet used to exercise his or her option under the plan at any time by giving written notice to the Company. All of the participant’s payroll deductions credited to his or her account will be paid to such participant promptly after receipt of notice of withdrawal and such participant’s option for the offering period will be automatically terminated and no further payroll deductions for the purchase of shares will be made for such offering period. If a participant withdraws from an offering period, payroll deductions will not resume at the beginning of the succeeding offering period unless the participant delivers to the Company a new subscription agreement for the plan. Upon a participant’s ceasing to be an employee of the Company or one of its designated subsidiaries, for any reason, he or she will be deemed to have elected to withdraw from the plan and the payroll deductions credited to such participant’s account during the offering period but not yet used to exercise the option will be returned to such participant.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Transferability</w:t>
      </w:r>
    </w:p>
    <w:p>
      <w:pPr>
        <w:spacing w:after="0" w:line="227" w:lineRule="exact"/>
        <w:rPr>
          <w:sz w:val="20"/>
          <w:szCs w:val="20"/>
          <w:color w:val="auto"/>
        </w:rPr>
      </w:pPr>
    </w:p>
    <w:p>
      <w:pPr>
        <w:jc w:val="both"/>
        <w:ind w:right="20" w:firstLine="729"/>
        <w:spacing w:after="0" w:line="282" w:lineRule="auto"/>
        <w:rPr>
          <w:sz w:val="20"/>
          <w:szCs w:val="20"/>
          <w:color w:val="auto"/>
        </w:rPr>
      </w:pPr>
      <w:r>
        <w:rPr>
          <w:rFonts w:ascii="Times New Roman" w:cs="Times New Roman" w:eastAsia="Times New Roman" w:hAnsi="Times New Roman"/>
          <w:sz w:val="18"/>
          <w:szCs w:val="18"/>
          <w:color w:val="auto"/>
        </w:rPr>
        <w:t>Rights granted under the 2022 ESPP are not transferable by a participant other than by will, by the laws of descent and distribution or pursuant to the plan’s beneficiary designation provisions.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of Control</w:t>
      </w:r>
    </w:p>
    <w:p>
      <w:pPr>
        <w:spacing w:after="0" w:line="22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purchase periods then in progress shall be shortened by setting a new exercise date and any offering periods then in progress will end on the new exercise date. The new exercise date will be before the date of the Company’s proposed sale or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Antidilution</w:t>
      </w:r>
    </w:p>
    <w:p>
      <w:pPr>
        <w:spacing w:after="0" w:line="227"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Should any change be made to our common stock by reason of any stock split, reverse stock split, stock dividend, combination, reclassification or any other increase or decrease in the number of shares of common stock effected without receipt of consideration, appropriate adjustments will be made to the per share price and number of shares issuable under the 2022 ESPP.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and Termination of Plan</w:t>
      </w:r>
    </w:p>
    <w:p>
      <w:pPr>
        <w:spacing w:after="0" w:line="227"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The Board of Directors (or a committee of the Board) may at any time and for any reason terminate or amend the plan. Except as otherwise provided in the plan, no such termination can affect options previously granted, provided that an offering period may be terminated by the Board (or a committee of the Board) on any exercise date if the Board (or a committee of the Board) determines that the termination of the offering period or the plan is in the best interests of the Company and its shareholders. Unless otherwise terminated, the plan has a term of ten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paragraphs are a summary of the general federal income tax consequences to U.S. taxpayers and the Company of awards granted under the 2022 ESPP. Tax consequences for any particular individual may be different.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Rights to purchase shares granted under the plan are intended to qualify for favorable federal income tax treatment associated with rights granted under an employee stock purchase plan which qualifies under the provisions of Section 423(b) of the Code. Under these provisions, no income will be taxable to a participant until the shares purchased under the 2022 ESPP are sold or otherwise disposed of. If the shares are disposed of within two years from the stock purchase right grant date (i.e., the beginning of the offering period or, if later, the date the participant entered the offering period) or within one year from the purchase date of the shares, a transaction referred to as a “disqualifying disposition,” the participant will realize ordinary income in the year of such disposition equal to the difference between the fair market value of the stock on the purchase date and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stock purchased under the 2022 ESPP is sold (or otherwise disposed of) more than two years after the stock purchase right grant date and more than one year after the stock is transferred to the participant, then the lesser of (i) the excess of the sale price of the stock at the time of disposition over the purchase price and (ii) the excess of the fair market value of the stock as of the date the participant entered the offering period over the purchase price (determined as of the date the participant entered the offering period) will be treated as ordinary income. If the sale price is less than the purchase price, no ordinary income will be reported. The amount of such ordinary income will be added to the participant’s basis in the shares and any additional gain or resulting loss recognized on the disposition of the shares after such basis adjustment will be long-term capital gain or loss.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generally be entitled to a deduction in the year of a disqualifying disposition equal to the amount of ordinary income realized by the participant as a result of such disposition, subject to the satisfaction of any tax-reporting obligations. In all other cases, no deduction is allowed.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CERTAIN FEDERAL INCOME TAX CONSEQUENCES TO THE PARTICIPANTS AND THE COMPANY WITH RESPECT TO THE GRANT AND EXERCISE OF AWARDS UNDER THE EMPLOYEE STOCK PURCHASE PLAN. IT DOES NOT PURPORT TO BE COMPLETE AND DOES NOT DISCUSS THE TAX CONSEQUENCES OF A PARTICIPANT’S DEATH OR THE PROVISIONS OF THE INCOME TAX LAWS OF ANY MUNICIPALITY, STATE OR FOREIGN COUNTRY IN WHICH THE PARTICIPANT MAY RESIDE.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ASC Topic 718 requires the estimated fair market value of all share-based payments to employees, including grants of employee stock options, to be recognized as expense in the statement of operations. The Employee Stock Purchase Plan has been structured in a way that no related compensation expense under the provisions of ASC Topic 718 will be required in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present in person or by proxy will be required to approve the amendment to the ESPP. Because brokers are not permitted to vote on this proposal in the absence of voting instructions from beneficial owners, broker non-votes will have no effect on the outcome of this proposal. Abstentions will have the effect of negative votes.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executive officers have an interest in this proposal as they may purchase shares pursuant to the ESPP.</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APPROVAL OF THE 2022 ESPP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fees charged by Ernst &amp; Young LLP, our independent registered public accountants, for professional services for fiscal year 2022 and an estimate of the fees we expect to be billed by Ernst &amp; Young LLP for professional services for fiscal year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Amount Billed for Fiscal Year</w:t>
            </w: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Professional Service</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8"/>
        </w:trPr>
        <w:tc>
          <w:tcPr>
            <w:tcW w:w="7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 professional services rendered by Ernst &amp; Young LLP for the audit of our annual</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the review procedures on the financial statements included in our Forms 10-Q,</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well as services that are normally provided by the accountant in connection with Securities and</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Commission filings for those fiscal years.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410,000</w:t>
            </w:r>
          </w:p>
        </w:tc>
      </w:tr>
      <w:tr>
        <w:trPr>
          <w:trHeight w:val="198"/>
        </w:trPr>
        <w:tc>
          <w:tcPr>
            <w:tcW w:w="7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 assurance and related services by Ernst &amp; Young LLP that are reasonably</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to the performance of the audit or review of financial statements and are not reported as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Fees.”</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 professional services rendered by Ernst &amp; Young LLP for tax compliance, tax advice</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tax planning.</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83,930</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10,960</w:t>
            </w: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Other Fees</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Ernst &amp; Young LLP Fees</w:t>
            </w: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458,930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420,960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the Audit Committee charter, it is the Audit Committee’s policy and procedure to review and consider and ultimately pre-approve, where appropriate, all audit and non-audit engagement services to be performed by our independent registered public accountants. All of the audit services provided by Ernst &amp; Young LLP during fiscal year 2023 were pre-approved in accordance with the Audit Committee’s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review all relationships and transactions in which the Company and our directors, executive officers or their immediate family members participate to determine whether such persons have a direct or indirect material interest in such transactions or relationships. In addition, our Code of Conduct prohibits our officers, directors, and employees from engaging in activities that involve, or even appear to involve, a conflict between their personal interest and the interests of the Company. Our Code of Conduct encourages our employees to report to us an actual or apparent conflict of interest.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or the Audit Committee, in either case, with any directors involved in the relevant transaction recusing themselves from the discussion and decision, reviews all related party transactions involving the Company and any of the Company’s principal shareholders or members of our board of directors or senior management or any immediate family member of any of the foregoing. A general statement of this policy is set forth in our Audit Committee charter, which is published on our website at www.stereotaxis.com, Investors, Governance. However, the Board does not have detailed written policies and procedures for reviewing related party transactions. Rather, all facts and circumstances surrounding each related party transaction may be considered.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all Company executive officers, directors and persons owning more than 10% of any registered class of our capital stock to file reports of ownership and changes in ownership with the SEC. Based solely on the reports received by us and on written representations from our directors and executive officers, we believe that all such persons timely filed such reports during the last fiscal year, except for the following report: one report for Ms. Peery to report the grant of 40,000 stock options on March 1, 2023 was filed on March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Included in Proxy Statement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Proposals of shareholders of the Company that are intended to be presented by such shareholders at the Company’s 2025 Annual Meeting and that shareholders desire to have included in the Company’s proxy materials relating to such meeting must be received by the Company at its principal executive offices no later than December 5, 2024, which is 120 calendar days prior to the anniversary of April 4, 2024, the release date of this proxy statement relating to the 2024 Annual Meeting. Upon timely receipt of any such proposal, the Company will determine whether or not to include such proposal in the proxy statement and proxy in accordance with applicable regulations governing the solicitation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Not Included in the Proxy Statement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bylaws provide that any shareholder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more than 120 days or less than 90 days prior to the anniversary date of the immediately preceding annual meeting of shareholders, i.e., not earlier than January 15, 2025, and not later than February 14, 2025, for the 2025 Annual Meeting. However, in the event that the annual meeting is called for a date that is not within 30 days before or after such anniversary date, notice by the shareholder in order to be timely must be received not later than the close of business on the 10th day following the date on which notice of the date of the annual meeting was mailed to shareholders or made public, whichever first occurs. Our restated bylaws specify requirements as to the form and content of a shareholder’s notice. These provisions may preclude shareholders from bringing matters before an annual meeting of shareholders or from making nominations for directors at an annual meeting of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shareholder wishing to submit a candidate for election to our Board of Directors should follow the procedures outlined in “Director Nominations.” For all other proposals, as to each matter of business proposed, the shareholder should send the following information to the Corporate Secretary, Stereotaxis, Inc., 710 North Tucker Boulevard, Suite 110, St. Louis, Missouri 63101:</w:t>
      </w:r>
    </w:p>
    <w:p>
      <w:pPr>
        <w:spacing w:after="0" w:line="176"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and the reasons for conducting such business;</w:t>
      </w:r>
    </w:p>
    <w:p>
      <w:pPr>
        <w:spacing w:after="0" w:line="2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business (including the text of any resolutions proposed and the language of any proposed amendment to our charter documents);</w:t>
      </w: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shareholder records, of the shareholder(s) proposing such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the stock which are beneficially owned by the proposing shareholder(s);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proposing shareholder(s) in such business; and</w:t>
      </w:r>
    </w:p>
    <w:p>
      <w:pPr>
        <w:spacing w:after="0" w:line="9"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either the proposing shareholder(s) intend(s) to deliver a proxy statement and form of proxy to holders of, in the case of the proposal, at least the percentage of the Company’s voting shares required under applicable law to carry the proposal.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complete description of this process is set forth in our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HOUSEHOLDING OF PROXIES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annual reports, proxy statements and Notices of Internet Availability of Proxy Materials, with respect to two or more shareholders sharing the same address by delivering a single annual report and/or proxy statement and/or Notices of Internet Availability of Proxy Materials addressed to those shareholders. This process is commonly referred to as “householding”. The Company and some brokers household annual reports, proxy materials, and Notices of Internet Availability of Proxy Materials, delivering a single annual report and/or proxy statement and/or Notice of Internet Availability of Proxy Materials to multiple shareholders sharing an address unless contrary instructions have been received from the affected shareholders.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you have received notice from your broker or the Company that your broker or we will be householding materials to your address, householding will continue until you are notified otherwise or until you request otherwise. If, at any time, you no longer wish to participate in householding and would prefer to receive a separate annual report and/or proxy statement and/or Notice of Internet Availability of Proxy Materials, in the future, please notify your broker if your shares are held in a brokerage account or us if you hold registered shares. If, at any time, you and another shareholder sharing the same address wish to participate in householding and prefer to receive a single copy of our annual report and/or proxy statement and/or Notice of Internet Availability of Proxy Materials, please notify your broker if your shares are held in a brokerage account or us if you hold registered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request to receive at any time a separate copy of our proxy materials, our Annual Report, or Notice of Internet Availability of Proxy Materials, or notify us that you do or do not wish to participate in householding by sending a written request to our Corporate Secretary at 710 North Tucker Boulevard, Suite 110, St. Louis, Missouri 63101, or by telephoning 314-678-6100. We will deliver such materials to you promptly upon such request.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knows of no matter, other than those referred to in this proxy statement, which will be presented at the meeting. However, if any other matters, including a shareholder proposal excluded from this proxy statement pursuant to the rules of the SEC, properly come before the meeting or any of its adjournments, the person or persons voting the proxies will vote in accordance with their best judgment on such matters. Should any nominee for director be unable to serve or for good cause will not serve at the time of the meeting or any adjournments thereof, the persons named in the proxy will vote for the election of such other person for such directorship as the Board may recommend, unless, prior to the meeting, the Board has eliminated that directorship by reducing the size of the Board. The Board is not aware that any nominee herein will be unable to serve or for good cause will not serve as a director.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bear the expense of preparing, printing, and mailing this proxy material, as well as the cost of any required solicitation. Directors, officers, or employees of the Company may solicit proxies on behalf of the Company. In addition, the Company will reimburse banks, brokerage firms and other custodians, nominees and fiduciaries for reasonable expenses incurred in forwarding proxy materials to beneficial owners of the Company’s stock and obtaining their proxies.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are urged to vote promptly. You may revoke your proxy at any time before it is voted; and if you attend the meeting, as we hope you will, you may vote your shares in person, if you held your shares directly as a registered holder. In addition, we will furnish, without charge, copies of exhibits to our Annual Report on Form 10-K for the year ended December 31, 2023, as filed with the Commission, upon the written request of any person who is a shareholder as of the Record Date, upon payment of a reasonable fee which will not exceed our reasonable expenses in connection therewith. Requests for such materials should be directed to Stereotaxis, Inc., 710 North Tucker Boulevard, Suite 110, St. Louis, Missouri 63101, Attention: Corporate Secretary. Such information may also be obtained free of charge by accessing the Commission’s web site at </w:t>
      </w:r>
      <w:r>
        <w:rPr>
          <w:rFonts w:ascii="Times New Roman" w:cs="Times New Roman" w:eastAsia="Times New Roman" w:hAnsi="Times New Roman"/>
          <w:sz w:val="18"/>
          <w:szCs w:val="18"/>
          <w:u w:val="single" w:color="auto"/>
          <w:color w:val="auto"/>
        </w:rPr>
        <w:t>www.sec.gov.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STOCK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 February 15, 2024, subject to shareholder approval.</w:t>
      </w:r>
    </w:p>
    <w:p>
      <w:pPr>
        <w:spacing w:after="0" w:line="225"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Plan is to provide the Company with a means to assist in recruiting, retaining, and rewarding certain employees, directors, consultants, and other individuals providing services to the Company and to motivate such individuals to exert their best efforts on behalf of the Company by providing incentives through the granting of Awards. By granting Awards to such individuals, the Company expects that the interests of the recipients will be better aligned with those of the Company by providing recipients with a proprietary interest in the growth and performance of the Company.</w:t>
      </w:r>
    </w:p>
    <w:p>
      <w:pPr>
        <w:spacing w:after="0" w:line="18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the context clearly indicates otherwise, the following capitalized terms shall have the meanings set forth below: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Securities Exchange Act of 1934, as amended, or any successor thereto.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grant under the Plan of an Option, Stock Appreciation Right, Cash-Based Award or Other Stock-Based Award.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the document (in written or electronic form) communicating the terms, conditions, and limitations applicable to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“Cash-Based Award” means an Award described in Section 7 as a Cash-Based Award.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the occurrence of one or more of the following: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other acquisition (other than from the Company) by any person, entity or group of persons, within the meaning of Section 13(d) or 14(d) of the Act (excluding, for this purpose, the Company or its subsidiaries or any employee benefit plan of the Company or its subsidiaries), of beneficial ownership (within the meaning of Rule 13d-3 promulgated under the Act) of 35% or more of either the then-outstanding shares of common stock of the Company or the combined voting power of the Company’s then-outstanding voting securities entitled to vote generally in the election of directors;</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(as of the date hereof, the “Incumbent Board”) cease for any reason to constitute at least a majority of the Board, provided that any person who becomes a director subsequent to the date hereof whose election, or nomination for election by the Company’s shareholders, was approved by a vote of at least a majority of the directors then comprising the Incumbent Board (other than an individual whose initial assumption of office is in connection with an actual or threatened election contest relating to the election of directors of the Company, as such terms are used in Rule 14a-11 of Regulation 14A promulgated under the Act) shall be, for purposes of this section, considered as though such person were a member of the Incumbent Board; or</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in each case with respect to which persons who were the shareholders of the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of a liquidation or dissolution of the Company or of the sale of all or substantially all of the assets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Change of Control shall not be deemed to have occurred with respect to any Award that (i) provides “non-qualified deferred compensation” within the meaning of Code Section 409A and (ii) settles upon a Change of Control, unless such foregoing event constitutes a “change in ownership” of the Company, a “change in effective control” of the Company, or a “change in the ownership of a substantial portion of the assets” of the Company in each case, as defined under Code Section 409A and otherwise to the extent required under Code Section 409A.</w:t>
      </w:r>
    </w:p>
    <w:p>
      <w:pPr>
        <w:spacing w:after="0" w:line="180" w:lineRule="exact"/>
        <w:rPr>
          <w:sz w:val="20"/>
          <w:szCs w:val="20"/>
          <w:color w:val="auto"/>
        </w:rPr>
      </w:pPr>
    </w:p>
    <w:p>
      <w:pPr>
        <w:ind w:left="1300" w:right="296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or any successor thereto, and the regulations and other guidance promulgated thereunder.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Stereotaxis, Inc., a Delaware corporation, and any successor thereto.</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means the Company and any other entity directly or indirectly controlling, controlled by, or under common control with, the Company or any other entity designated by the Board or the Committee in which the Company has an interest. The term “control” (including the terms “controlling”, “controlled by” and “under common control with”) has the meaning ascribed to it under Rule 405 of the Securities Act of 1933, as amended, or any successor thereto, and the regulations and other guidance promulgated thereunder.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closing sale price, regular way, or, in case no such sale takes place on such date, the average of the closing bid and asked prices, regular way, on the date such Fair Market Value is measured of one share of Stock as reported in the principal consolidated transaction reporting system with respect to securities listed or admitted to trading on The New York Stock Exchange American Exchange (“NYSE American”) or, if the shares of Stock are not listed or admitted to trading on the NYSE American, as reported in the principal consolidated transaction reporting system with respect to securities listed on the principal national securities exchange on which the shares of Stock are listed or admitted to trading or, if the shares of Stock are not listed or admitted to trading on any national securities exchange, the last quoted sale price on such date or, if not so quoted, the average of the high bid and low asked prices in the over-the-counter market on such date, as reported by the National Association of Securities Dealers, Inc. Automated Quotations System or such other system then in use. If shares of Stock are not publicly held or so listed or publicly traded, the Fair Market Value per share of Stock shall be 100% of the fair market value of a share of Stock on the date such Fair Market Value is measured, as determined in good faith by the Committee.</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 stock option which is intended to be an incentive stock option within the meaning of Code Section 422.</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 stock option which is not an Incentive Stock Option.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both an Incentive Stock Option and a Non-Qualified Stock Option.</w:t>
      </w:r>
    </w:p>
    <w:p>
      <w:pPr>
        <w:spacing w:after="0" w:line="225" w:lineRule="exact"/>
        <w:rPr>
          <w:rFonts w:ascii="Times New Roman" w:cs="Times New Roman" w:eastAsia="Times New Roman" w:hAnsi="Times New Roman"/>
          <w:sz w:val="18"/>
          <w:szCs w:val="18"/>
          <w:color w:val="auto"/>
        </w:rPr>
      </w:pPr>
    </w:p>
    <w:p>
      <w:pPr>
        <w:ind w:left="1300" w:right="306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granted pursuant to Section 7 and described as an Other Stock-Based Award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 or such other meaning as may be hereafter ascribed to it in Code Section 424.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left="1300" w:hanging="644"/>
        <w:spacing w:after="0" w:line="261"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director or any employee of the Company, or any of its subsidiaries (including subsidiaries of subsidiaries), or any other entity in which the Company has a significant equity or other interest, as determined by the Committee, as well as any individual providing services to the Company who is selected to receive an Award; provided, that Incentive Stock Options may only be granted to employees of the Company or any of its Subsidiaries.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Stereotaxis, Inc. 2022 Stock Incentive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common stock, par value of $0.001 per share,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stock appreciation right described in Section 6.</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(other than the Company) in an unbroken chain of corporations beginning with the Company if, at the time of granting an Award, each of the corporations other than the last corporation in the unbroken chain owns stock possessing 50% or more of the total combined voting power of all classes of stock in one of the other corporations in such chain, or such other meaning as may be hereafter ascribed to it in Code Section 424.</w:t>
      </w:r>
    </w:p>
    <w:p>
      <w:pPr>
        <w:spacing w:after="0" w:line="180"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adoption of this Plan by the Board or the Committee, as applicable, the number of shares of Stock available for Awards under the Plan shall be 4,107,114. The maximum number of shares of Stock subject to Awards which may be granted during a calendar year to a Participant shall be 1,000,000. The Company may, in its discretion, use shares of Stock held in the treasury in lieu of authorized but unissued shares of Stock. If any Award shall expire or terminate or be cancelled or forfeited for any reason, the shares subject to the Award shall again be available for the purposes of the Plan. Any shares of Stock which are tendered by a Participant as full or partial payment to the Company to satisfy a purchase price related to an Award shall not be available for the purposes of the Plan. To the extent any shares subject to an Award are not delivered to a Participant because such shares are used to satisfy an applicable tax-withholding obligation or used to satisfy a purchase price related to an Option, such withheld shares shall not be available for the purposes of the Plan. Shares of Stock subject to the grant of a Stock Appreciation Right shall not become available again for issuance under this Plan upon exercise or settlement of such Stock Appreciation Right for a lesser number of shares. Awards that by their terms may only be settled in cash shall not reduce the number of shares available for purposes of the Plan, and if cash is issued in lieu of Stock pursuant to an Award, such shares will not become available again for issuance under this Plan.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the shares of Stock available under the Plan may be used for the grant of Incentive Stock Options.</w:t>
      </w:r>
    </w:p>
    <w:p>
      <w:pPr>
        <w:spacing w:after="0" w:line="225"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shall be administered by the Committee. 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Employer’s success and such other factors as the Committee, in its discretion, shall deem relevant. Subject to the express provisions of the Plan, the Committee shall also have plenary discretionary authority to interpret the Plan, to prescribe, amend and rescind rules and regulations relating to it, to determine the terms and provisions of the respective Award Agreements (which need not be identical) and to make all other determinations necessary or advisable for the administration of the Plan. The Committee’s determinations on the matters referred to in this Section 4 shall be conclusive.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Committee may not amend the terms of outstanding Award Agreements without the approval of the Company’s shareholders in accordance with applicable law or regulation to either reduce the exercise price of any outstanding Option or Stock Appreciation Right, or cancel any outstanding Option or Stock Appreciation Right in exchange for cash, another Award, or another Option or Stock Appreciation Right with an exercise price that is less than the exercise price of the original Option or Stock Appreciation Right.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shall have the power and authority to determine which individuals, including individuals outside the United States, shall be eligible to receive Awards under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retirement, separation from service or termination of employment, available methods of exercise or settlement of an Award, payment of income, social insurance contributions and payroll taxes, withholding procedures and handling of any stock certificates or other indicia of ownership which vary with local requirements. The Committee may also adopt rules, procedures or sub-plans applicable to Participants employed by particular Employers or at particular locations.</w:t>
      </w:r>
    </w:p>
    <w:p>
      <w:pPr>
        <w:spacing w:after="0" w:line="192"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in its discretion, may grant Options which are Incentive Stock Options or Non-Qualified Stock Options, as evidenced by the Award Agreement, and shall be subject to the foregoing and the following terms and conditions and to such other terms and conditions, not inconsistent therewith, as the Committee shall determine: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Type of Option</w:t>
      </w:r>
      <w:r>
        <w:rPr>
          <w:rFonts w:ascii="Times New Roman" w:cs="Times New Roman" w:eastAsia="Times New Roman" w:hAnsi="Times New Roman"/>
          <w:sz w:val="18"/>
          <w:szCs w:val="18"/>
          <w:color w:val="auto"/>
        </w:rPr>
        <w:t>. Incentive Stock Options may be granted to any individual classified by the Committee as an employee of the Company, a Parent or a Subsidiary. A Non-Qualified Stock Option may be granted to any individual selected by the Committee, provided that in no event shall a Non-Qualified Stock Option be granted in exchange for services performed by an individual unless the Company is an “eligible issuer of service recipient stock” within the meaning of Code Section 409A with respect to such individual. No individual may be granted Options to purchase more than 1,000,000 shares of Stock during any single fiscal year of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Option Prices</w:t>
      </w:r>
      <w:r>
        <w:rPr>
          <w:rFonts w:ascii="Times New Roman" w:cs="Times New Roman" w:eastAsia="Times New Roman" w:hAnsi="Times New Roman"/>
          <w:sz w:val="18"/>
          <w:szCs w:val="18"/>
          <w:color w:val="auto"/>
        </w:rPr>
        <w:t>. The purchase price of the Stock under each Option shall not be less than 100% of the Fair Market Value of the Stock at the time of the granting of the Option, as determined under Section 16; provided that, in the case of a Participant who owns more than 10% of the total combined voting power of all classes of stock of the Company, a Parent or a Subsidiary (as determined in accordance with Code Section 422), the purchase price of the Stock under each Incentive Stock Option shall not be less than 110% of the Fair Market Value of the Stock on the date such Option is granted.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 Elections and Restrictions</w:t>
      </w:r>
      <w:r>
        <w:rPr>
          <w:rFonts w:ascii="Times New Roman" w:cs="Times New Roman" w:eastAsia="Times New Roman" w:hAnsi="Times New Roman"/>
          <w:sz w:val="18"/>
          <w:szCs w:val="18"/>
          <w:color w:val="auto"/>
        </w:rPr>
        <w:t>. The purchase price for an Option is to be paid in full upon the exercise of the Option, either (i) in cash,</w:t>
      </w:r>
    </w:p>
    <w:p>
      <w:pPr>
        <w:spacing w:after="0" w:line="27" w:lineRule="exact"/>
        <w:rPr>
          <w:sz w:val="20"/>
          <w:szCs w:val="20"/>
          <w:color w:val="auto"/>
        </w:rPr>
      </w:pPr>
    </w:p>
    <w:p>
      <w:pPr>
        <w:jc w:val="both"/>
        <w:ind w:firstLine="8"/>
        <w:spacing w:after="0" w:line="252"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Committee, by the tender to the Company (either actual or by attestation) of shares of Stock already owned by the Participant and registered in his or her name, having a Fair Market Value equal to the cash exercise price of the Option being exercised, (iii) through a net or cashless (including broker-assisted cashless exercise, to the extent permissible) form of exercise as permitted by the Committee, or (iv) in the discretion of the Committee, by any combination of the payment methods specified in clauses (i), (ii), or (iii) hereof; provided that, no shares of Stock may be tendered in exercise of an Incentive Stock Option if such shares were acquired by the Participant through the exercise of an Incentive Stock Option unless (a) such shares have been held by the Participant for at least one year and (b) at least two years have elapsed since such prior Incentive Stock Option was granted.</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8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Terms</w:t>
      </w:r>
      <w:r>
        <w:rPr>
          <w:rFonts w:ascii="Times New Roman" w:cs="Times New Roman" w:eastAsia="Times New Roman" w:hAnsi="Times New Roman"/>
          <w:sz w:val="18"/>
          <w:szCs w:val="18"/>
          <w:color w:val="auto"/>
        </w:rPr>
        <w:t>. The term of each Option shall not be more than ten (10) years from the date of granting thereof, as determined under Section 16, or such shorter period as is prescribed in the Award Agreement; provided that, in the case of a Participant who owns more than ten percent (10%) of the total combined voting power of all classes of stock of the Company, a Parent or a Subsidiary, the term of any Incentive Stock Option shall not be more than five (5) years from the date of granting thereof or such shorter period as prescribed in the Award Agreement. Within such limit, Options will be exercisable at such time or times, and subject to such restrictions and conditions, as the Committee shall, in each instance, approve, which need not be uniform for all Participants. The holder of an Option shall have none of the rights of a shareholder with respect to the shares subject to Option until such shares shall be issued to him or her upon the exercise of his or her Option. In no event shall Option holders be entitled to dividends or dividend equivalents with respect to such Options.</w:t>
      </w:r>
    </w:p>
    <w:p>
      <w:pPr>
        <w:spacing w:after="0" w:line="19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Option Grants</w:t>
      </w:r>
      <w:r>
        <w:rPr>
          <w:rFonts w:ascii="Times New Roman" w:cs="Times New Roman" w:eastAsia="Times New Roman" w:hAnsi="Times New Roman"/>
          <w:sz w:val="18"/>
          <w:szCs w:val="18"/>
          <w:color w:val="auto"/>
        </w:rPr>
        <w:t>. As determined by the Committee, successive option grants may be made to any Participant under the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Additional Incentive Stock Option Requirements</w:t>
      </w:r>
      <w:r>
        <w:rPr>
          <w:rFonts w:ascii="Times New Roman" w:cs="Times New Roman" w:eastAsia="Times New Roman" w:hAnsi="Times New Roman"/>
          <w:sz w:val="18"/>
          <w:szCs w:val="18"/>
          <w:color w:val="auto"/>
        </w:rPr>
        <w:t>. The maximum aggregate Fair Market Value (determined at the time an Option is granted) of the Stock with respect to which Incentive Stock Options are exercisable for the first time by a Participant during any calendar year (under all plans of the Company, a Parent and a Subsidiary) shall not exceed $100,000. A Participant who disposes of Stock acquired upon the exercise of an Incentive Stock Option either (i) within two years after the date of grant of such Incentive Stock Option or (ii) within one year after the transfer of such shares to the Participant, shall notify the Company of such disposition and of the amount realized upon such disposition.</w:t>
      </w:r>
    </w:p>
    <w:p>
      <w:pPr>
        <w:spacing w:after="0" w:line="183"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Terms.</w:t>
      </w:r>
      <w:r>
        <w:rPr>
          <w:rFonts w:ascii="Times New Roman" w:cs="Times New Roman" w:eastAsia="Times New Roman" w:hAnsi="Times New Roman"/>
          <w:sz w:val="18"/>
          <w:szCs w:val="18"/>
          <w:color w:val="auto"/>
        </w:rPr>
        <w:t xml:space="preserve"> The Committee may grant a Stock Appreciation Right independent of an Option or in connection with an Option or a portion thereof. A Stock Appreciation Right granted in connection with an Option or a portion thereof shall cover the same shares of Stock covered by the Option, or a lesser number as the Committee may determine. The maximum number of shares of Stock subject to Awards for Stock Appreciation Rights for grants intended to qualify as Performance-Based Awards during a calendar year shall be 1,000,000. The term of each Stock Appreciation Right shall not be more than ten (10) years from the date of granting thereof, as determined under Section 16, or such shorter period as is prescribed in the Award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Terms.</w:t>
      </w:r>
      <w:r>
        <w:rPr>
          <w:rFonts w:ascii="Times New Roman" w:cs="Times New Roman" w:eastAsia="Times New Roman" w:hAnsi="Times New Roman"/>
          <w:sz w:val="18"/>
          <w:szCs w:val="18"/>
          <w:color w:val="auto"/>
        </w:rPr>
        <w:t xml:space="preserve"> The exercise price per share of Stock of a Stock Appreciation Right shall not be less than 100% of the Fair Market Value of the Stock at the time of granting, as determined under Section 16, the Stock Appreciation Right. A Stock Appreciation Right granted independent of an Option shall entitle the Participant upon exercise to a payment from the Company in an amount equal to the excess of the Fair Market Value on the exercise date of a share of Stock over the exercise price per share, times the number of Stock Appreciation Rights exercised. A Stock Appreciation Right granted in connection with an Option shall entitle the Participant to surrender an unexercised Option (or portion thereof) and to receive in exchange an amount equal to the excess of the Fair Market Value on the exercise date of a share of Stock over the exercise price per share for the Option, times the number of shares covered by the Option (or portion thereof) which is surrendered. Payment may be made, in the discretion of the Committee, in (i) Stock, (ii) cash or (iii) any combination of Stock and cash. Cash shall be paid for fractional shares of Stock upon the exercise of a Stock Appreciation Right.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The Committee may include in the Award Agreement such conditions upon the exercisability or transferability of Stock Appreciation Rights as it determines in its sole discretion. In no event shall Stock Appreciation Right holders be entitled to dividends or dividend equivalents with respect to such Stock Appreciation Rights.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 AND CASH-BASED AWARDS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Committee may, in its sole discretion, grant Awards of Stock, restricted Stock, restricted Stock units and other Awards that are valued in whole or in part by reference to the Fair Market Value of Stock. These Awards shall collectively be referred to herein as Other Stock-Based Awards. The Committee may also, in its sole discretion, grant Cash-Based Awards, which shall have a value as may be determined by the Committee. Other Stock-Based Awards shall be in such form, and dependent on such conditions, if any, as the Committee shall determine, including, but not limited to, the right to receive fully-vested shares or the right to receive one or more shares of Stock (or the cash-equivalent thereof) upon the completion of a specified period of service, the occurrence of an event or the attainment of performance objectives. Other Stock-Based Awards and Cash-Based Awards may be granted with or in addition to other Awards. Subject to the other terms of the Plan, Other Stock-Based Awards and Cash-Based Awards may be granted to such Participants in such amounts and upon such terms, and at any time and from time to time, as shall be determined by the Committee and set forth in an Award Agreement; provided that, the maximum Cash-Based Award that may be granted to a Participant in a calendar year is $1,000,000 to the extent it is also a Performance-Based Award. Notwithstanding the foregoing, no dividends or dividend equivalents shall be paid with respect to unvested Other Stock-Based Awards, including Other Stock-Based Awards that are intended to be Performance-Based Awards.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may, in its sole and absolute discretion, determine that certain Awards should be subject to performance requirements. If the Committee so determines, such Awards shall be considered Performance-Based Awards subject to the terms of this Section 8. The performance measures to be used for purposes of a Performance-Based Award shall be determined by the Committee, in its sole and absolute discretion, and may include, without limitation, any of the following or such other performance measures as the Committee may determine in its sole and absolute discretion: the Company’s earnings per share growth; earnings; earnings per share; cash flow; working capital; expense management; customer satisfaction; revenues; financial return ratios; market performance; shareholder return and/or value; operating income (loss) (including earnings (loss) before income taxes, depreciation and amortization); net income (loss); profit returns; margins; stock price; working capital; business trends; production cost; product cost; return on assets; project milestones; and plant and equipment performance. The performance measures may relate to the Company, a Parent, a Subsidiary, an Employer or one or more units of such an entity.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shall determine whether, with respect to a performance period, the applicable performance goals have been met with respect to an Award and, if they have, to so certify and ascertain the amount of the applicable Performance-Based Award. Except as otherwise set forth in an Award Agreement, each performance measure that constitutes a criteria measured by reference to the Company’s financial statements shall be determined in accordance with generally accepted accounting principles as consistently applied by the Company and, if so determined by the Committee, adjusted to omit the effects of extraordinary items, gain or loss on the disposal of a business segment, unusual or infrequently occurring events and transactions and cumulative effects of changes in accounting principles. The Committee shall have the discretion to adjust the amount payable on a Company-wide or divisional basis or to reflect individual performance and/or unanticipated factors (and, for the avoidance of doubt, the Committee shall retain the discretion to adjust such Awards downward).</w:t>
      </w:r>
    </w:p>
    <w:p>
      <w:pPr>
        <w:spacing w:after="0" w:line="192"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Plan, each Stock Option and Stock Appreciation Right shall have a minimum vesting period of three years from the date of grant of such award, provided that such vesting may occur incrementally over such three-year period. Except as otherwise provided in this Plan, the vesting schedule of any such Award may not accelerate except in the case of death, disability, retirement, a Change of Control, involuntary termination of employment without cause or voluntary termination for good reason. Except as otherwise provided in this Plan, whether an Award will be subject to accelerated vesting upon the occurrence of one or more of these events shall be specified in the Award Agreement relating to such Award or another agreement with the Participant, such as an employment agreement.</w:t>
      </w:r>
    </w:p>
    <w:p>
      <w:pPr>
        <w:spacing w:after="0" w:line="187"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exercise of an Option, the Company shall withhold a sufficient number of shares to satisfy the Company’s minimum required statutory withholding obligations for any taxes incurred as a result of such exercise (based on the minimum statutory withholding rates for federal and state tax purposes, including payroll taxes); provided that, in lieu of all or part of such withholding, the Participant may pay an equivalent amount of cash to the Company. Prior to the payment, settlement, or vesting of any Award other than an Option, the Participant shall pay to the Company, or make arrangements acceptable to the Company for the payment of, amounts sufficient for the Company to satisfy its required statutory withholding obligations. The Company shall have the right to satisfy its required statutory withholding obligations by withholding an amount of cash otherwise due to a Participant (or shares of Stock for Awards settled in shares of Stock) upon the settlement of any Award.</w:t>
      </w:r>
    </w:p>
    <w:p>
      <w:pPr>
        <w:spacing w:after="0" w:line="189" w:lineRule="exact"/>
        <w:rPr>
          <w:sz w:val="20"/>
          <w:szCs w:val="20"/>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Committee and expressly set forth in an Award Agreement, an Award granted under the Plan shall, by its terms, be non-transferable otherwise than by will or the laws of descent and distribution and an Award may be exercised, if applicable, during the lifetime of the Participant thereof, only by the Participant or his or her guardian or legal representative. Notwithstanding the above, the Committee may not provide in an Award Agreement that an Incentive Stock Option is transferable.</w:t>
      </w:r>
    </w:p>
    <w:p>
      <w:pPr>
        <w:spacing w:after="0" w:line="180"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Award under the Plan shall be awarded only on the condition that all purchases of Stock thereunder shall be for investment purposes, and not with a view to resale or distribution, except that the Committee may make such provision with respect to Awards granted under this Plan as it deems necessary or advisable for the release of such condition upon the registration with the Securities and Exchange Commission of Stock subject to the Award, or upon the happening of any other contingency warranting the release of such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280" w:hanging="272"/>
        <w:spacing w:after="0"/>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OR CORPORATION 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In the event of any change in the outstanding Stock of the Company by reason of a stock split, stock dividend, combination or reclassification of shares, recapitalization, consolidation, split-up, merger, or similar event, the Committee shall adjust appropriately: (a) the number of shares or kind of Stock</w:t>
      </w:r>
    </w:p>
    <w:p>
      <w:pPr>
        <w:spacing w:after="0" w:line="1" w:lineRule="exact"/>
        <w:rPr>
          <w:sz w:val="20"/>
          <w:szCs w:val="20"/>
          <w:color w:val="auto"/>
        </w:rPr>
      </w:pPr>
    </w:p>
    <w:p>
      <w:pPr>
        <w:jc w:val="both"/>
        <w:ind w:firstLine="8"/>
        <w:spacing w:after="0" w:line="251" w:lineRule="auto"/>
        <w:tabs>
          <w:tab w:leader="none" w:pos="2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for issuance under the Plan, (ii) for which Awards may be granted to an individual Participant, and (iii) covered by outstanding Awards denominated in stock or units of stock; (b) the exercise and grant prices related to outstanding Awards; and (c) the appropriate Fair Market Value and other price determinations for such Awards. In the event of any other change affecting the Stock or any distribution (other than normal cash dividends) to holders of Stock, such adjustments in the number and kind of shares and the exercise, grant and conversion prices of the affected Awards as may be deemed equitable by the Committee, including adjustments to avoid fractional shares, shall be made to give proper effect to such event. In the event of a corporate merger, consolidation, acquisition of property or stock, separation, reorganization or liquidation, the Committee shall be authorized to cause to issue or assume stock options, whether or not in a transaction to which section 424(a) of the Code applies, by means of substitution of new stock options for previously issued stock options or an assumption of previously issued stock options. In such event, the aggregate number of shares of Stock available for issuance under Awards under Section 3, including the individual Participant maximums, will be increased to reflect such substitution or assumption.</w:t>
      </w:r>
    </w:p>
    <w:p>
      <w:pPr>
        <w:spacing w:after="0" w:line="19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notwithstanding any other provisions of the Plan or an Award Agreement to the contrary, the Committee may, in its sole discretion, provide for:</w:t>
      </w:r>
    </w:p>
    <w:p>
      <w:pPr>
        <w:spacing w:after="0" w:line="162" w:lineRule="exact"/>
        <w:rPr>
          <w:sz w:val="20"/>
          <w:szCs w:val="20"/>
          <w:color w:val="auto"/>
        </w:rPr>
      </w:pPr>
    </w:p>
    <w:p>
      <w:pPr>
        <w:jc w:val="both"/>
        <w:ind w:firstLine="656"/>
        <w:spacing w:after="0" w:line="266" w:lineRule="auto"/>
        <w:tabs>
          <w:tab w:leader="none" w:pos="9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 Award upon the consummation of the Change of Control in exchange for the payment of a cash amount (but only in a manner which does not result in a violation of Code Section 409A and only to the extent the terminated Award has, in the discretion of the Committee, a positive value as of the termination date); and/or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substitute Awards to substantially preserve the terms of any Awards previously granted under the Plan (but only in a manner which does not result in a violation of Code Section 409A) which are outstanding upon the consummation of the Change of Control.</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consummation of a Change of Control, the Committee may also provide for accelerated vesting of any outstanding Awards that are otherwise unexercisable or unvested as of a date selected by the Committee.</w:t>
      </w:r>
    </w:p>
    <w:p>
      <w:pPr>
        <w:spacing w:after="0" w:line="162"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or the Committee may at any time terminate the Plan, or make such modifications to the Plan as either shall deem advisable; provided, however, that the Board or the Committee may not, without further approval by the shareholders of the Company, increase the maximum number of shares as to which Awards may be granted under the Plan (except under the anti-dilution provisions of Section 13), or change the class of employees to whom Incentive Stock Options may be granted. No termination or amendment of the Plan may, without the consent of the Participant to whom any Award shall theretofore have been granted, adversely affect the rights of such Participant under such Award.</w:t>
      </w:r>
    </w:p>
    <w:p>
      <w:pPr>
        <w:spacing w:after="0" w:line="183" w:lineRule="exact"/>
        <w:rPr>
          <w:sz w:val="20"/>
          <w:szCs w:val="20"/>
          <w:color w:val="auto"/>
        </w:rPr>
      </w:pPr>
    </w:p>
    <w:p>
      <w:pPr>
        <w:ind w:left="280" w:hanging="272"/>
        <w:spacing w:after="0"/>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shall become effective upon adoption by the Board or the Committee subject, however, to its further approval by the shareholders of the Company given within twelve (12) months of the date the Plan is adopted by the Board or the Committee at a regular meeting of the shareholders or at a special meeting duly called and held for such purpose. Grants of Awards may be made prior to such shareholder approval but all Award grants made prior to shareholder approval shall be subject to the obtaining of such approval and if such approval is not obtained, such Awards shall not be effective for any purpose.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left="280" w:hanging="27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OF AN AWARD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 Award grant under the Plan shall be deemed to be made on the date on which the Committee, by formal action of its members duly recorded in the records thereof, makes an Award to a Participant (but in no event prior to the adoption of the Plan by the Board or the Committee).</w:t>
      </w:r>
    </w:p>
    <w:p>
      <w:pPr>
        <w:spacing w:after="0" w:line="162" w:lineRule="exact"/>
        <w:rPr>
          <w:sz w:val="20"/>
          <w:szCs w:val="20"/>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Plan shall terminate ten (10) years after the date on which it is approved and adopted by the Board or the Committee and no Award shall be granted hereunder after the expiration of such ten-year period. Awards outstanding at the termination of the Plan shall continue in accordance with their terms and shall not be affected by such termination.</w:t>
      </w:r>
    </w:p>
    <w:p>
      <w:pPr>
        <w:spacing w:after="0" w:line="176" w:lineRule="exact"/>
        <w:rPr>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Nothing in the Plan or in any Award granted pursuant to the Plan shall confer on any individual any right to continue in the employ of the Employer or interfere in any way with the right of the Employer to terminate his or her employment at any time.</w:t>
      </w:r>
    </w:p>
    <w:p>
      <w:pPr>
        <w:spacing w:after="0" w:line="162"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Plan shall be governed by and construed in accordance with the laws of the State of Delaware without regard to conflicts of law. Unless otherwise provided in an Award Agreement, recipients of an Award under the Plan are deemed to submit to the exclusive jurisdiction and venue of the federal or state courts of Missouri, County of St. Louis, to resolve any and all issues that may arise out of or relate to the Plan or any Award Agreement.</w:t>
      </w:r>
    </w:p>
    <w:p>
      <w:pPr>
        <w:spacing w:after="0" w:line="176" w:lineRule="exact"/>
        <w:rPr>
          <w:sz w:val="20"/>
          <w:szCs w:val="20"/>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provision of the Plan is, becomes, or is deemed invalid, illegal, or unenforceable in any jurisdiction, or would disqualify the Plan or any Award under any law deemed applicable by the Committee, such provision shall be construed or deemed amended or limited in scope to conform to applicable laws or, in the discretion of the Committee, it shall be stricken and the remainder of the Plan shall remain in full force and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Plan was Initially adopted by our Board of Directors on February 3, 2022, and further revised by the Compensation Committee of the Board of Directors, on February 27, 2022, and approved by the Stockholders on May 19,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Appendix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 February 15, 2024, subject to shareholder approval.</w:t>
      </w:r>
    </w:p>
    <w:p>
      <w:pPr>
        <w:spacing w:after="0" w:line="225" w:lineRule="exact"/>
        <w:rPr>
          <w:sz w:val="20"/>
          <w:szCs w:val="20"/>
          <w:color w:val="auto"/>
        </w:rPr>
      </w:pPr>
    </w:p>
    <w:p>
      <w:pPr>
        <w:jc w:val="both"/>
        <w:ind w:firstLine="8"/>
        <w:spacing w:after="0" w:line="258"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Stereotaxis, Inc. 2022 Employee Stock Purchase Plan (“Plan”) is to provide employees of the Company and its Designated Subsidiaries with an opportunity to purchase Common Stock through accumulated payroll deductions. It is the intention of the Company to have the Plan qualify as an “employee stock purchase plan” under Section 423 of the Internal Revenue Code of 1986, as amended. The provisions of the Plan, accordingly, shall be construed so as to extend and limit participation and otherwise be interpreted in a manner consistent with the requirements of that section of the Code.</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Any reference to a section of the Code shall be deemed to include a reference to any regulations promulgated thereunder.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Stereotaxis, Inc.</w:t>
      </w:r>
    </w:p>
    <w:p>
      <w:pPr>
        <w:spacing w:after="0" w:line="225" w:lineRule="exact"/>
        <w:rPr>
          <w:rFonts w:ascii="Times New Roman" w:cs="Times New Roman" w:eastAsia="Times New Roman" w:hAnsi="Times New Roman"/>
          <w:sz w:val="18"/>
          <w:szCs w:val="18"/>
          <w:color w:val="auto"/>
        </w:rPr>
      </w:pPr>
    </w:p>
    <w:p>
      <w:pPr>
        <w:jc w:val="both"/>
        <w:ind w:firstLine="8"/>
        <w:spacing w:after="0" w:line="256"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shall mean all cash compensation paid to an Employee by the Company or a Designated Subsidiary as compensation for services to the Company or Designated Subsidiary reportable on Form W-2, including without limitation base straight time gross earnings, sales commissions, payments for overtime, shift premiums, incentive compensation, incentive payments and bonuses, and before deduction for any salary deferral contributions by the Participant to any Company or Designated Subsidiary 401(k) Plan or nonqualified deferred compensation plan from compensation paid to the Participant by the Company or Designated Subsidiary, but excluding compensatory fringe benefit payments and special award or bonus payments classified by the Company as excludable from Compensation.</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shall mean any Subsidiary that has been designated by the Board its sole discretion as eligible to participate in the Plan, and such other Subsidiaries that may be designated by the Board from time to time in its sole discretion.</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individual who is an Employee of the Company or Designated Subsidiary for tax purposes whose customary employment with the Company or Designated Subsidiary is at least twenty (20) hours per week and more than five (5) months in any calendar year. For purposes of the Plan, the employment relationship shall be treated as continuing intact while the individual is on military leave, sick leave or other leave of absence approved by the Company or Designated Subsidiary and meeting the requirements of Treasury Regulation Section 1.421-1(h)(2). Where the period of leave exceeds three months, or such other period of time specified in Treasury Regulation 1.421-1(h)(2), and the individual’s right to reemployment is not guaranteed either by statute or by contract, the employment relationship shall be deemed to have terminated on the first day immediately following such three-month period, or such other period specified in Treasury Regulation 1.421-1(h)(2). An individual who performs services as an employee for the Company or Designated Subsidiary shall not be considered an Employee if the laws of the country (outside of the United States) in which such individual is a citizen or resident prohibits his or her participation in the Plan to the extent provided in Treasury Regulation 1.423-2(f).</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shall mean the first Trading Day of each Offering Period.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shall mean the last Trading Day of each Offering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220" w:hanging="212"/>
        <w:spacing w:after="0"/>
        <w:tabs>
          <w:tab w:leader="none" w:pos="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jc w:val="both"/>
        <w:ind w:left="500" w:hanging="6"/>
        <w:spacing w:after="0" w:line="261" w:lineRule="auto"/>
        <w:tabs>
          <w:tab w:leader="none" w:pos="72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American Exchange (“NYSE American”), its Fair Market Value shall be the closing sales price for such stock (or the closing bid, if no sales were reported) as quoted on such exchange or system for the last market trading day prior to the date of determination,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such other source as the Board deems reliable;</w:t>
      </w:r>
    </w:p>
    <w:p>
      <w:pPr>
        <w:spacing w:after="0" w:line="179"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7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its Fair Market Value shall be the mean of the closing bid and asked prices for the Common Stock prior to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Board deems reliable; or</w:t>
      </w:r>
    </w:p>
    <w:p>
      <w:pPr>
        <w:spacing w:after="0" w:line="175"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thereof shall be determined in good faith by the Board.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shall mean a period of three months commencing on the first day of each calendar quarter.</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 Employee who participates in the Plan.</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this Stereotaxis, Inc. 2022 Employee Stock Purchase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95% of the Fair Market Value of a share of Common Stock on the Exercise Date.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shall mean the number of shares of Common Stock covered by each option under the Plan which have not yet been exercised and the number of shares of Common Stock which have been authorized for issuance under the Plan but not yet placed under option.</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at the time of granting an option under the Plan, each of the corporations other than the last corporation in the unbroken chain owns stock possessing 50% or more of the total combined voting power of all classes of stock in one of the other corporations in such chain, whether or not such corporation exists now or is hereafter organized or acquired by the Company or a Subsidiary. In all cases, the determination of whether an entity is a Subsidiary shall be made in accordance with Section 424 of the Code.</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national stock exchanges and the NYSE American are open for trading.</w:t>
      </w:r>
    </w:p>
    <w:p>
      <w:pPr>
        <w:spacing w:after="0" w:line="225"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shall be employed by the Company or Designated Subsidiary on a given Enrollment Date shall be eligible to participate in the Plan with respect to such Offering Period.</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Plan to the contrary notwithstanding, no participant shall be granted an option under the Plan (i) to the extent that, immediately after the grant, such participant (or any other person whose stock would be attributed to such participant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or (ii) 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 The Board of Directors may set a maximum number of shares of capital stock which any participant may purchase during any Offering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8"/>
        <w:spacing w:after="0" w:line="258" w:lineRule="auto"/>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Plan shall be implemented by a series of Offering Periods, each with a duration of three (3) months, with new Offering Periods commencing on the first day of each calendar quarter (or at such other time or times as may be determined by the Board or a committee of the Board). The Plan shall continue until terminated in accordance with Section 20 hereof. The Board (or a committee of the Board) shall have the power to change the duration and/or the frequency of the Offering Period with respect to future offerings without stockholder approval if such change is announced prior to the scheduled beginning of the first Offering Period to be affected.</w:t>
      </w:r>
    </w:p>
    <w:p>
      <w:pPr>
        <w:spacing w:after="0" w:line="18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An eligible Employee may become a participant in the Plan by enrolling through such procedures as may be provided by the Company from time to time. Except as provided in Section 6, an enrollment in effect for a participant for a particular Offering Period will continue in effect for subsequent Offering Periods if the participant remains an eligible Employee and has not withdrawn from participation in the Plan pursuant to Section 10.</w:t>
      </w:r>
    </w:p>
    <w:p>
      <w:pPr>
        <w:spacing w:after="0" w:line="176" w:lineRule="exact"/>
        <w:rPr>
          <w:sz w:val="20"/>
          <w:szCs w:val="20"/>
          <w:color w:val="auto"/>
        </w:rPr>
      </w:pPr>
    </w:p>
    <w:p>
      <w:pPr>
        <w:ind w:firstLine="8"/>
        <w:spacing w:after="0" w:line="282" w:lineRule="auto"/>
        <w:tabs>
          <w:tab w:leader="none" w:pos="2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10.</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leave of absence approved by the Company or a Designated Subsidiary and meeting the requirements of Treasury Regulation Section 1.421-</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1(h)(2), a Participant may continue to participate in the Plan by making cash payments to the Company on each pay day equal to the amount of the Participant’s payroll deductions under the Plan for the pay day immediately preceding the first day of such Participant’s leave of absence. If a leave of absence is unapproved or fails to meet the requirements of Treasury Regulation Section 1.421-1(h)(2), the Participant will cease automatically to participate in the Plan. In such event, the Company will automatically cease to make contributions for such Participant under the Plan and Company will pay to the Participant his or her total payroll deductions for the Offering Period, in cash in one lump sum (without interest), as soon as practicable after the Participant ceases to participate.</w:t>
      </w:r>
    </w:p>
    <w:p>
      <w:pPr>
        <w:spacing w:after="0" w:line="189" w:lineRule="exact"/>
        <w:rPr>
          <w:rFonts w:ascii="Times New Roman" w:cs="Times New Roman" w:eastAsia="Times New Roman" w:hAnsi="Times New Roman"/>
          <w:sz w:val="18"/>
          <w:szCs w:val="18"/>
          <w:color w:val="auto"/>
        </w:rPr>
      </w:pPr>
    </w:p>
    <w:p>
      <w:pPr>
        <w:jc w:val="both"/>
        <w:ind w:firstLine="8"/>
        <w:spacing w:after="0" w:line="266" w:lineRule="auto"/>
        <w:tabs>
          <w:tab w:leader="none" w:pos="2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enrolling in the Plan, each participant will be deemed to have authorized the establishment of a brokerage account in his or her name at a securities brokerage firm, which firm shall serve as custodial agent for the purpose of holding shares purchased under the Plan. The account will be governed by, and subject to, the terms and conditions of a written agreement with the firm approved by the Board or the committee administering the Plan.</w:t>
      </w:r>
    </w:p>
    <w:p>
      <w:pPr>
        <w:spacing w:after="0" w:line="176" w:lineRule="exact"/>
        <w:rPr>
          <w:sz w:val="20"/>
          <w:szCs w:val="20"/>
          <w:color w:val="auto"/>
        </w:rPr>
      </w:pPr>
    </w:p>
    <w:p>
      <w:pPr>
        <w:jc w:val="both"/>
        <w:ind w:firstLine="8"/>
        <w:spacing w:after="0" w:line="266" w:lineRule="auto"/>
        <w:tabs>
          <w:tab w:leader="none" w:pos="1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At the time a Participant enrolls in the Plan, he or she shall elect to have payroll deductions made on each pay day during the Offering Period in an amount not exceeding fifteen percent (15%) of the Compensation which he or she receives on each pay day during the Offering Period. Except for the foregoing sentence, all eligible Employees shall have the same rights and privileges under the Plan.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payroll deductions made for a Participant shall be credited to his or her notional account under the Plan and shall be withheld in whole percentages only. The Company shall maintain records of all payroll deductions but shall have no obligation to pay interest on payroll deductions or to hold such amounts in a trust or in any segregated account. A Participant may not make any additional payments into such notional account, unless expressly permitted by the Board or committee administering the Plan.</w:t>
      </w:r>
    </w:p>
    <w:p>
      <w:pPr>
        <w:spacing w:after="0" w:line="180" w:lineRule="exact"/>
        <w:rPr>
          <w:sz w:val="20"/>
          <w:szCs w:val="20"/>
          <w:color w:val="auto"/>
        </w:rPr>
      </w:pPr>
    </w:p>
    <w:p>
      <w:pPr>
        <w:jc w:val="both"/>
        <w:ind w:firstLine="8"/>
        <w:spacing w:after="0" w:line="254" w:lineRule="auto"/>
        <w:tabs>
          <w:tab w:leader="none" w:pos="2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election shall remain in effect for successive Offering Periods unless terminated or the Participant withdraws as provided in Section 10 hereof. During an Offering Period, a Participant may elect to reduce his or her payroll deductions to zero percent (0%), in accordance with such procedures as may be provided by the Company from time to time, but he or she may not otherwise change the payroll deduction percentage during an Offering Period. Amounts deducted prior to an election to reduce his or her payroll deductions to zero shall not be refunded to the Participant unless he or she specifically withdraws under Section 10. In accordance with procedures established by the Company from time to time, a Participant must re-enroll in the Plan if he or she reduces his or her payroll deductions to zero or withdraws under Section 10. The deduction rate selected by the Participant may be increased or decreased by the Participant with respect to a subsequent Offering Period by submitting a new deduction rate election authorizing a new level of payroll deductions prior to the beginning of the next Offering Period and otherwise in accordance with such rules and procedures as may be established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8"/>
        <w:spacing w:after="0" w:line="261" w:lineRule="auto"/>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3(b) hereof, the Company may decrease a Participant’s payroll deductions to zero percent (0%) at any time during an Offering Period. Payroll deductions shall recommence at the rate provided in such Participant’s subscription agreement at the beginning of the first Offering Period which is scheduled to end in the following calendar year (or such earlier time as permitted under Section 423(b)(8) of the Code), unless terminated by the Participant as provided in Section 10 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183" w:lineRule="exact"/>
        <w:rPr>
          <w:sz w:val="20"/>
          <w:szCs w:val="20"/>
          <w:color w:val="auto"/>
        </w:rPr>
      </w:pPr>
    </w:p>
    <w:p>
      <w:pPr>
        <w:jc w:val="both"/>
        <w:ind w:firstLine="8"/>
        <w:spacing w:after="0" w:line="255"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On the Enrollment Date of each Offering Period, each Participant participating in such Offering Period shall be granted an option to purchase on each Exercise Date during such Offering Period (at the applicable Purchase Price) up to a number of shares of the Company’s Common Stock determined by dividing such Participant’s payroll deductions accumulated prior to such Exercise Date by the applicable Purchase Price; provided that such purchase shall be subject to the limitations set forth in Sections 3(b) and 13. The Board may, for future Offering Periods, increase or decrease, in its absolute discretion, the maximum number of shares of the Company’s Common Stock a Participant may purchase during each Offering Period. Exercise of the option shall occur as provided in Section 8, unless the Participant has withdrawn pursuant to Section 10. The option shall expire on the last day of the Offering Period.</w:t>
      </w:r>
    </w:p>
    <w:p>
      <w:pPr>
        <w:spacing w:after="0" w:line="1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5"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the Plan as provided in Section 10, his or her option for the purchase of shares shall be exercised automatically on the Exercise Date, and the maximum number of full shares subject to the option shall be purchased for such Participant at the applicable Purchase Price with the accumulated payroll deductions in his or her notional account. No fractional shares shall be purchased; any payroll deductions accumulated in a Participant’s notional account which are not sufficient to purchase a full share shall be reflected as notional fractional shares in the Participant’s notional account for the subsequent Offering Period to be aggregated with other notional shares on future Exercise Dates, subject to earlier withdrawal by the Participant as provided in Section 10. Any other monies left over in a Participant’s notional account after the Exercise Date shall be returned to the Participant. During a Participant’s lifetime, a Participant’s options are exercisable only by him or her.</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shares available for sale under the Plan on such Exercise Date, the Board may in its sole discretion (x)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exercising options to purchase Common Stock on such Exercise Date, and continue all Offering Periods then in effect, or (y) provide that the Company shall make a pro rata allocation of the shares available for purchase on such Enrollment Date or Exercise Date, as applicable, in as uniform a manner as shall be practicable and as it shall determine in its sole discretion to be equitable among all Participants exercising options to purchase Common Stock on such Exercise Date, and terminate any or all Offering Periods then in effect pursuant to Section 20 hereof.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notional account of each Participant which has not been applied to the purchase of shares of Common Stock shall be paid to such Participant in one lump sum in cash as soon as reasonably practicable after the Exercise Date, without any interest thereon.</w:t>
      </w:r>
    </w:p>
    <w:p>
      <w:pPr>
        <w:spacing w:after="0" w:line="187" w:lineRule="exact"/>
        <w:rPr>
          <w:sz w:val="20"/>
          <w:szCs w:val="20"/>
          <w:color w:val="auto"/>
        </w:rPr>
      </w:pPr>
    </w:p>
    <w:p>
      <w:pPr>
        <w:jc w:val="both"/>
        <w:ind w:firstLine="8"/>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As promptly as practicable after each Exercise Date on which a purchase of shares occurs, the Company shall issue shares to each Participant by book entry on the Company’s transfer agent and registrar’s books of account in an account. A physical share certificate shall not be issued or delivered unless specifically requested by the Participant.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8"/>
        <w:spacing w:after="0" w:line="256" w:lineRule="auto"/>
        <w:tabs>
          <w:tab w:leader="none" w:pos="2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the payroll deductions credited to his or her notional account and not yet used to exercise his or her option under the Plan at any time through such procedures as may be provided by the Company from time to time. All of the Participant’s payroll deductions credited to his or her notional account shall be paid to such Participant promptly after withdrawal and such participant’s option for the Offering Period shall be automatically terminated, and no further payroll deductions for the purchase of shares shall be made for such Offering Period. If a Participant withdraws from an Offering Period, payroll deductions shall not resume at the beginning of the succeeding Offering Period unless the Participant elects to enroll in accordance with the enrollment procedures as may be provided by the Company from time to time.</w:t>
      </w:r>
    </w:p>
    <w:p>
      <w:pPr>
        <w:spacing w:after="0" w:line="187" w:lineRule="exact"/>
        <w:rPr>
          <w:sz w:val="20"/>
          <w:szCs w:val="20"/>
          <w:color w:val="auto"/>
        </w:rPr>
      </w:pPr>
    </w:p>
    <w:p>
      <w:pPr>
        <w:jc w:val="both"/>
        <w:ind w:right="20" w:firstLine="8"/>
        <w:spacing w:after="0" w:line="266" w:lineRule="auto"/>
        <w:tabs>
          <w:tab w:leader="none" w:pos="2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Participant shall withdraw from an Offering Period if he or she makes a hardship withdrawal from a Company or Designated Subsidiary 401(k) Plan if such 401(k) Plan so provides. Such Participant shall thereafter be suspended from participating in this Plan in accordance with the terms of such 401(k) Plan.</w:t>
      </w:r>
    </w:p>
    <w:p>
      <w:pPr>
        <w:spacing w:after="0" w:line="176" w:lineRule="exact"/>
        <w:rPr>
          <w:sz w:val="20"/>
          <w:szCs w:val="20"/>
          <w:color w:val="auto"/>
        </w:rPr>
      </w:pPr>
    </w:p>
    <w:p>
      <w:pPr>
        <w:jc w:val="both"/>
        <w:ind w:firstLine="8"/>
        <w:spacing w:after="0" w:line="258" w:lineRule="auto"/>
        <w:tabs>
          <w:tab w:leader="none" w:pos="2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Upon a Participant’s ceasing to be an Employee, for any reason, he or she shall be deemed to have elected to withdraw from the Plan and the payroll deductions credited to such Participant’s notional account during the Offering Period but not yet used to exercise the option shall be returned to such Participant or, in the case of his or her death, to the person or persons entitled thereto under Section 15 hereof, and such Participant’s option shall be automatically terminated. Therefore, a Participant who ceases to be an Employee on any day during an Offering Period, including the last day, shall not be eligible to purchase shares during such Offering Period.</w:t>
      </w:r>
    </w:p>
    <w:p>
      <w:pPr>
        <w:spacing w:after="0" w:line="18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of a Participant in the Plan.</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7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upon changes in capitalization of the Company as provided in Section 19 hereof, the maximum number of shares of the Company’s Common Stock which shall be made available for sale under the Plan shall be 453,366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have no interest or voting right in shares covered by his or her option until such option has been exercised.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to a Participant under the Plan shall be registered in the name of the Participant or in the name of the Participant and his or her spouse.</w:t>
      </w:r>
    </w:p>
    <w:p>
      <w:pPr>
        <w:spacing w:after="0" w:line="162" w:lineRule="exact"/>
        <w:rPr>
          <w:sz w:val="20"/>
          <w:szCs w:val="20"/>
          <w:color w:val="auto"/>
        </w:rPr>
      </w:pPr>
    </w:p>
    <w:p>
      <w:pPr>
        <w:jc w:val="both"/>
        <w:ind w:firstLine="8"/>
        <w:spacing w:after="0" w:line="256" w:lineRule="auto"/>
        <w:tabs>
          <w:tab w:leader="none" w:pos="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or a committee of members of the Board appointed by the Board. The Board or its committee shall have full and exclusive discretionary authority to construe, interpret and apply the terms of the Plan, prescribe, amend, and rescind rules relating to the Plan’s administration, determine eligibility, adjudicate all disputed claims filed under the Plan, and take any other actions necessary or desirable for the administration of the Plan The Board or its committee may correct any defect or supply any omission or reconcile any inconsistency or ambiguity in the Plan. Every finding, decision and determination made by the Board or its committee shall, to the full extent permitted by law, be final and binding upon all parties.</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such procedures as may be established by the Board, a Participant may file a written designation of a beneficiary who is to receive any shares and cash, if any, from the Participant’s notional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notional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firstLine="8"/>
        <w:spacing w:after="0" w:line="256" w:lineRule="auto"/>
        <w:tabs>
          <w:tab w:leader="none" w:pos="2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at any time by written notice in such form, time, and manner and subject to such other procedures as may be established by the Board. In the event of the death of a participant and in the absence of a beneficiary validly designated under the Plan who is living at the time of such Participant’s death, the Company shall issue such shares and/or cash to the executor or administrator of the estate of the Participant, or if no such executor or administrator has been appointed (to the knowledge of the Company), the Company, in its discretion, may issue such shares and/or cash to the spouse or to any one or more dependents or relatives of the Participant, or if no spouse, dependent or relative is known to the Company, then to such other person as the Company may designate.</w:t>
      </w:r>
    </w:p>
    <w:p>
      <w:pPr>
        <w:spacing w:after="0" w:line="187" w:lineRule="exact"/>
        <w:rPr>
          <w:sz w:val="20"/>
          <w:szCs w:val="20"/>
          <w:color w:val="auto"/>
        </w:rPr>
      </w:pPr>
    </w:p>
    <w:p>
      <w:pPr>
        <w:jc w:val="both"/>
        <w:ind w:firstLine="8"/>
        <w:spacing w:after="0" w:line="261" w:lineRule="auto"/>
        <w:tabs>
          <w:tab w:leader="none" w:pos="2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Neither payroll deductions credited to a Participant’s notional account nor any option or rights with regard to the exercise of an option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funds from an Offering Period in accordance with Section 10.</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8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notional accounts shall be maintained for each Participant. Statements of notional accounts shall be given to Participants at least annually, which statements shall set forth the amounts of payroll deductions, the Purchase Price of any shares purchased with accumulated funds, the number of shares purchased and the remaining cash balance, if any.</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Dissolution, Liquidation, Merger or Asset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4" w:lineRule="auto"/>
        <w:tabs>
          <w:tab w:leader="none" w:pos="2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any required action by the stockholders of the Company, the Reserves, the maximum number of shares each Participant may purchase each Offering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a proposed dissolution or liquidation of the Company, the Offering Period then in progress shall be shortened by setting a new Exercise Date (the “New Exercise Date”), and shall terminate immediately prior to the consummation of such proposed dissolution or liquidation, unless provided otherwise by the Board (or a committee of the Board). The New Exercise Date shall be before the date of the Company’s proposed dissolution or liquidation. The Board (or a committee of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Asset Sale</w:t>
      </w:r>
      <w:r>
        <w:rPr>
          <w:rFonts w:ascii="Times New Roman" w:cs="Times New Roman" w:eastAsia="Times New Roman" w:hAnsi="Times New Roman"/>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 then in progress shall be shortened by setting a new Exercise Date (the “New Exercise Date”) and shall end on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5" w:lineRule="auto"/>
        <w:tabs>
          <w:tab w:leader="none" w:pos="25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 committee of the Board) may at any time and for any reason terminate or amend the Plan. Except as provided in Section 19, no such termination can affect options previously granted, provided that an Offering Period may be terminated by the Board (or a committee of the Board) on any Exercise Date if the Board (or a committee of the Board) determines that the termination of the Offering Period or the Plan is in the best interests of the Company and its stockholders. Except as provided in Section 19 and this Section 20, no amendment may make any change in any option theretofore granted which adversely affects the rights of any Participant. To the extent necessary to comply with Section 423 of the Code (or any successor rule or provision or any other applicable law, regulation or stock exchange rule), the Company shall obtain stockholder approval in such a manner and to such a degree as required.</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regard to whether any Participant rights may be considered to have been “adversely affected,” the Board (or a committee of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a committee of the Board) determines in its sole discretion advisable which are consistent with the Plan.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5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Board (or a committee of the Board) determines that the ongoing operation of the Plan may result in unfavorable financial accounting consequences, the Board (or a committee of the Board) may, in its discretion and, to the extent necessary or desirable, modify or amend the Plan to reduce or eliminate such accounting consequence including, but not limited to:</w:t>
      </w:r>
    </w:p>
    <w:p>
      <w:pPr>
        <w:spacing w:after="0" w:line="175" w:lineRule="exact"/>
        <w:rPr>
          <w:rFonts w:ascii="Times New Roman" w:cs="Times New Roman" w:eastAsia="Times New Roman" w:hAnsi="Times New Roman"/>
          <w:sz w:val="18"/>
          <w:szCs w:val="18"/>
          <w:color w:val="auto"/>
        </w:rPr>
      </w:pPr>
    </w:p>
    <w:p>
      <w:pPr>
        <w:ind w:left="700" w:hanging="206"/>
        <w:spacing w:after="0"/>
        <w:tabs>
          <w:tab w:leader="none" w:pos="7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225" w:lineRule="exact"/>
        <w:rPr>
          <w:rFonts w:ascii="Times New Roman" w:cs="Times New Roman" w:eastAsia="Times New Roman" w:hAnsi="Times New Roman"/>
          <w:sz w:val="18"/>
          <w:szCs w:val="18"/>
          <w:color w:val="auto"/>
        </w:rPr>
      </w:pPr>
    </w:p>
    <w:p>
      <w:pPr>
        <w:ind w:left="500" w:hanging="6"/>
        <w:spacing w:after="0" w:line="282" w:lineRule="auto"/>
        <w:tabs>
          <w:tab w:leader="none" w:pos="77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Offering Period ends on a new Exercise Date, including an Offering Period underway at the time of the action of the Board (or a committee of the Board); and</w:t>
      </w:r>
    </w:p>
    <w:p>
      <w:pPr>
        <w:spacing w:after="0" w:line="161"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Plan Participants.</w:t>
      </w:r>
    </w:p>
    <w:p>
      <w:pPr>
        <w:spacing w:after="0" w:line="225" w:lineRule="exact"/>
        <w:rPr>
          <w:sz w:val="20"/>
          <w:szCs w:val="20"/>
          <w:color w:val="auto"/>
        </w:rPr>
      </w:pPr>
    </w:p>
    <w:p>
      <w:pPr>
        <w:ind w:firstLine="8"/>
        <w:spacing w:after="0" w:line="282" w:lineRule="auto"/>
        <w:tabs>
          <w:tab w:leader="none" w:pos="27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ind w:firstLine="8"/>
        <w:spacing w:after="0" w:line="282" w:lineRule="auto"/>
        <w:tabs>
          <w:tab w:leader="none" w:pos="27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shall become effective upon the latest to occur of its adoption by the Board, its approval by the stockholders of the Company or such date designated by the Board. It shall continue in effect for a term of ten (10) years unless sooner terminated under Section 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8"/>
        <w:spacing w:after="0" w:line="261" w:lineRule="auto"/>
        <w:tabs>
          <w:tab w:leader="none" w:pos="2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Employees of the Company (or of any Designated Subsidiary) will have equal rights and privileges under the Plan so that the Plan qualifies as an “employee stock purchase plan” within the meaning of Section 423 of the Code or applicable Treasury regulations thereunder. Any provision of the Plan that is inconsistent with Section 423 or applicable Treasury regulations will, without further act or amendment by the Company or the Board, be reformed to comply with the equal rights and privileges requirement of Section 423 or applicable Treasury regulations.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Employee or Participant) the right to remain in the employ of the Company, or a Subsidiary or to affect the right of the Company, or any Subsidiary to terminate the employment of any person (including any Employee or Participant) at any time, with or without cause.</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2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of Common Stock purchased upon exercise of an option if such disposition or transfer is made: (a) within two (2) years from the Enrollment Date of the Offering Period in which the shares were purchased or (b) within one (1) year after the Exercise Date on which such shares were purchased. Such notice shall specify the date of such disposition or other transfer and the amount realized, in cash, other property, assumption of indebtedness or other consideration, by the Participant in such disposition or other transfer. The Company has the authority to establish procedures regarding the ability of a Participant to transfer shares of Common Stock in order to ensure compliance with this Section 26.</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Plan shall be governed by and construed in accordance with the laws of the State of Missouri without regard to conflicts of law.</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Plan</w:t>
      </w:r>
      <w:r>
        <w:rPr>
          <w:rFonts w:ascii="Times New Roman" w:cs="Times New Roman" w:eastAsia="Times New Roman" w:hAnsi="Times New Roman"/>
          <w:sz w:val="18"/>
          <w:szCs w:val="18"/>
          <w:color w:val="auto"/>
        </w:rPr>
        <w:t>. This Plan constitutes the entire plan with respect to the subject matter hereof and supersedes all prior plans with respect to the subject matter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Plan was Initially adopted by our Board of Directors on February 3, 2022, and further revised by the Compensation Committee of the Board of Directors, on February 27, 2022, and approved by the Stockholders on May 19,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8138795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upperLetter"/>
      <w:start w:val="17"/>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2"/>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5"/>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30">
    <w:nsid w:val="23F9C13C"/>
    <w:multiLevelType w:val="hybridMultilevel"/>
    <w:lvl w:ilvl="0">
      <w:lvlJc w:val="left"/>
      <w:lvlText w:val="%1."/>
      <w:numFmt w:val="upperLetter"/>
      <w:start w:val="7"/>
    </w:lvl>
  </w:abstractNum>
  <w:abstractNum w:abstractNumId="31">
    <w:nsid w:val="649BB77C"/>
    <w:multiLevelType w:val="hybridMultilevel"/>
    <w:lvl w:ilvl="0">
      <w:lvlJc w:val="left"/>
      <w:lvlText w:val="%1."/>
      <w:numFmt w:val="upperLetter"/>
      <w:start w:val="17"/>
    </w:lvl>
  </w:abstractNum>
  <w:abstractNum w:abstractNumId="32">
    <w:nsid w:val="275AC794"/>
    <w:multiLevelType w:val="hybridMultilevel"/>
    <w:lvl w:ilvl="0">
      <w:lvlJc w:val="left"/>
      <w:lvlText w:val="%1."/>
      <w:numFmt w:val="decimal"/>
      <w:start w:val="3"/>
    </w:lvl>
  </w:abstractNum>
  <w:abstractNum w:abstractNumId="33">
    <w:nsid w:val="39386575"/>
    <w:multiLevelType w:val="hybridMultilevel"/>
    <w:lvl w:ilvl="0">
      <w:lvlJc w:val="left"/>
      <w:lvlText w:val="%1."/>
      <w:numFmt w:val="decimal"/>
      <w:start w:val="4"/>
    </w:lvl>
  </w:abstractNum>
  <w:abstractNum w:abstractNumId="34">
    <w:nsid w:val="1CF10FD8"/>
    <w:multiLevelType w:val="hybridMultilevel"/>
    <w:lvl w:ilvl="0">
      <w:lvlJc w:val="left"/>
      <w:lvlText w:val="%1."/>
      <w:numFmt w:val="decimal"/>
      <w:start w:val="5"/>
    </w:lvl>
  </w:abstractNum>
  <w:abstractNum w:abstractNumId="35">
    <w:nsid w:val="180115BE"/>
    <w:multiLevelType w:val="hybridMultilevel"/>
    <w:lvl w:ilvl="0">
      <w:lvlJc w:val="left"/>
      <w:lvlText w:val="(%1)"/>
      <w:numFmt w:val="lowerRoman"/>
      <w:start w:val="2"/>
    </w:lvl>
    <w:lvl w:ilvl="1">
      <w:lvlJc w:val="left"/>
      <w:lvlText w:val="%2."/>
      <w:numFmt w:val="upperLetter"/>
      <w:start w:val="4"/>
    </w:lvl>
  </w:abstractNum>
  <w:abstractNum w:abstractNumId="36">
    <w:nsid w:val="235BA861"/>
    <w:multiLevelType w:val="hybridMultilevel"/>
    <w:lvl w:ilvl="0">
      <w:lvlJc w:val="left"/>
      <w:lvlText w:val="%1."/>
      <w:numFmt w:val="decimal"/>
      <w:start w:val="6"/>
    </w:lvl>
    <w:lvl w:ilvl="1">
      <w:lvlJc w:val="left"/>
      <w:lvlText w:val="%2."/>
      <w:numFmt w:val="upperLetter"/>
      <w:start w:val="1"/>
    </w:lvl>
  </w:abstractNum>
  <w:abstractNum w:abstractNumId="37">
    <w:nsid w:val="47398C89"/>
    <w:multiLevelType w:val="hybridMultilevel"/>
    <w:lvl w:ilvl="0">
      <w:lvlJc w:val="left"/>
      <w:lvlText w:val="%1."/>
      <w:numFmt w:val="decimal"/>
      <w:start w:val="8"/>
    </w:lvl>
  </w:abstractNum>
  <w:abstractNum w:abstractNumId="38">
    <w:nsid w:val="354FE9F9"/>
    <w:multiLevelType w:val="hybridMultilevel"/>
    <w:lvl w:ilvl="0">
      <w:lvlJc w:val="left"/>
      <w:lvlText w:val="%1."/>
      <w:numFmt w:val="decimal"/>
      <w:start w:val="9"/>
    </w:lvl>
  </w:abstractNum>
  <w:abstractNum w:abstractNumId="39">
    <w:nsid w:val="15B5AF5C"/>
    <w:multiLevelType w:val="hybridMultilevel"/>
    <w:lvl w:ilvl="0">
      <w:lvlJc w:val="left"/>
      <w:lvlText w:val="%1."/>
      <w:numFmt w:val="decimal"/>
      <w:start w:val="10"/>
    </w:lvl>
  </w:abstractNum>
  <w:abstractNum w:abstractNumId="40">
    <w:nsid w:val="741226BB"/>
    <w:multiLevelType w:val="hybridMultilevel"/>
    <w:lvl w:ilvl="0">
      <w:lvlJc w:val="left"/>
      <w:lvlText w:val="%1."/>
      <w:numFmt w:val="decimal"/>
      <w:start w:val="11"/>
    </w:lvl>
  </w:abstractNum>
  <w:abstractNum w:abstractNumId="41">
    <w:nsid w:val="D34B6A8"/>
    <w:multiLevelType w:val="hybridMultilevel"/>
    <w:lvl w:ilvl="0">
      <w:lvlJc w:val="left"/>
      <w:lvlText w:val="%1."/>
      <w:numFmt w:val="decimal"/>
      <w:start w:val="12"/>
    </w:lvl>
  </w:abstractNum>
  <w:abstractNum w:abstractNumId="42">
    <w:nsid w:val="10233C99"/>
    <w:multiLevelType w:val="hybridMultilevel"/>
    <w:lvl w:ilvl="0">
      <w:lvlJc w:val="left"/>
      <w:lvlText w:val="%1."/>
      <w:numFmt w:val="decimal"/>
      <w:start w:val="13"/>
    </w:lvl>
  </w:abstractNum>
  <w:abstractNum w:abstractNumId="43">
    <w:nsid w:val="3F6AB60F"/>
    <w:multiLevelType w:val="hybridMultilevel"/>
    <w:lvl w:ilvl="0">
      <w:lvlJc w:val="left"/>
      <w:lvlText w:val="(%1)"/>
      <w:numFmt w:val="lowerRoman"/>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4"/>
    </w:lvl>
  </w:abstractNum>
  <w:abstractNum w:abstractNumId="46">
    <w:nsid w:val="77AE35EB"/>
    <w:multiLevelType w:val="hybridMultilevel"/>
    <w:lvl w:ilvl="0">
      <w:lvlJc w:val="left"/>
      <w:lvlText w:val="%1."/>
      <w:numFmt w:val="decimal"/>
      <w:start w:val="15"/>
    </w:lvl>
  </w:abstractNum>
  <w:abstractNum w:abstractNumId="47">
    <w:nsid w:val="579BE4F1"/>
    <w:multiLevelType w:val="hybridMultilevel"/>
    <w:lvl w:ilvl="0">
      <w:lvlJc w:val="left"/>
      <w:lvlText w:val="%1."/>
      <w:numFmt w:val="decimal"/>
      <w:start w:val="16"/>
    </w:lvl>
  </w:abstractNum>
  <w:abstractNum w:abstractNumId="48">
    <w:nsid w:val="310C50B3"/>
    <w:multiLevelType w:val="hybridMultilevel"/>
    <w:lvl w:ilvl="0">
      <w:lvlJc w:val="left"/>
      <w:lvlText w:val="%1."/>
      <w:numFmt w:val="decimal"/>
      <w:start w:val="17"/>
    </w:lvl>
  </w:abstractNum>
  <w:abstractNum w:abstractNumId="49">
    <w:nsid w:val="5FF87E05"/>
    <w:multiLevelType w:val="hybridMultilevel"/>
    <w:lvl w:ilvl="0">
      <w:lvlJc w:val="left"/>
      <w:lvlText w:val="%1."/>
      <w:numFmt w:val="decimal"/>
      <w:start w:val="18"/>
    </w:lvl>
  </w:abstractNum>
  <w:abstractNum w:abstractNumId="50">
    <w:nsid w:val="2F305DEF"/>
    <w:multiLevelType w:val="hybridMultilevel"/>
    <w:lvl w:ilvl="0">
      <w:lvlJc w:val="left"/>
      <w:lvlText w:val="%1."/>
      <w:numFmt w:val="decimal"/>
      <w:start w:val="19"/>
    </w:lvl>
  </w:abstractNum>
  <w:abstractNum w:abstractNumId="51">
    <w:nsid w:val="25A70BF7"/>
    <w:multiLevelType w:val="hybridMultilevel"/>
    <w:lvl w:ilvl="0">
      <w:lvlJc w:val="left"/>
      <w:lvlText w:val="%1."/>
      <w:numFmt w:val="decimal"/>
      <w:start w:val="20"/>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0"/>
    </w:lvl>
    <w:lvl w:ilvl="1">
      <w:lvlJc w:val="left"/>
      <w:lvlText w:val="(%2)"/>
      <w:numFmt w:val="lowerRoman"/>
      <w:start w:val="1"/>
    </w:lvl>
  </w:abstractNum>
  <w:abstractNum w:abstractNumId="55">
    <w:nsid w:val="1381823A"/>
    <w:multiLevelType w:val="hybridMultilevel"/>
    <w:lvl w:ilvl="0">
      <w:lvlJc w:val="left"/>
      <w:lvlText w:val="%1."/>
      <w:numFmt w:val="decimal"/>
      <w:start w:val="3"/>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decimal"/>
      <w:start w:val="4"/>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decimal"/>
      <w:start w:val="6"/>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decimal"/>
      <w:start w:val="7"/>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decimal"/>
      <w:start w:val="9"/>
    </w:lvl>
  </w:abstractNum>
  <w:abstractNum w:abstractNumId="65">
    <w:nsid w:val="168E121F"/>
    <w:multiLevelType w:val="hybridMultilevel"/>
    <w:lvl w:ilvl="0">
      <w:lvlJc w:val="left"/>
      <w:lvlText w:val="%1."/>
      <w:numFmt w:val="decimal"/>
      <w:start w:val="10"/>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decimal"/>
      <w:start w:val="1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decimal"/>
      <w:start w:val="14"/>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1."/>
      <w:numFmt w:val="decimal"/>
      <w:start w:val="16"/>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decimal"/>
      <w:start w:val="20"/>
    </w:lvl>
  </w:abstractNum>
  <w:abstractNum w:abstractNumId="75">
    <w:nsid w:val="42963E5A"/>
    <w:multiLevelType w:val="hybridMultilevel"/>
    <w:lvl w:ilvl="0">
      <w:lvlJc w:val="left"/>
      <w:lvlText w:val="(%1)"/>
      <w:numFmt w:val="lowerLetter"/>
      <w:start w:val="1"/>
    </w:lvl>
    <w:lvl w:ilvl="1">
      <w:lvlJc w:val="left"/>
      <w:lvlText w:val="(%2)"/>
      <w:numFmt w:val="lowerRoman"/>
      <w:start w:val="1"/>
    </w:lvl>
  </w:abstractNum>
  <w:abstractNum w:abstractNumId="76">
    <w:nsid w:val="A0382C5"/>
    <w:multiLevelType w:val="hybridMultilevel"/>
    <w:lvl w:ilvl="0">
      <w:lvlJc w:val="left"/>
      <w:lvlText w:val="%1."/>
      <w:numFmt w:val="decimal"/>
      <w:start w:val="21"/>
    </w:lvl>
  </w:abstractNum>
  <w:abstractNum w:abstractNumId="77">
    <w:nsid w:val="8F2B15E"/>
    <w:multiLevelType w:val="hybridMultilevel"/>
    <w:lvl w:ilvl="0">
      <w:lvlJc w:val="left"/>
      <w:lvlText w:val="%1."/>
      <w:numFmt w:val="decimal"/>
      <w:start w:val="23"/>
    </w:lvl>
  </w:abstractNum>
  <w:abstractNum w:abstractNumId="78">
    <w:nsid w:val="1A32234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2024-04-04T14:56:04Z</dcterms:created>
  <dcterms:modified xsi:type="dcterms:W3CDTF">2024-04-04T14:56:04Z</dcterms:modified>
</cp:coreProperties>
</file>