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Stereotaxis,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001-36159</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94-3120386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710 N. Tucker Blvd, Suite 110, St. Louis, MO</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63101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Patricia S. Williams, 314-678-6100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Specialized Disclosure Report on Form SD (“Form SD”) of Stereotaxis, Inc. (“Stereotaxis”, the “Company” or “we”) for the reporting period from January 1 to December 31, 2025, is filed pursuant to Rule 13p-1 under the Securities Exchange Act of 1934 (the “Rule”). Capitalized terms not otherwise defined herein are defined in the Rule.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Stereotaxis evaluated its products and determined that our products contain “necessary conflict minerals.” This means that Conflict Minerals as defined in the Rule are present in products we manufacture or contract to manufacture and are used to achieve the required function, use or purpose of those products. Our determination and related disclosures relating to such necessary conflict minerals are included in Stereotaxis’ Conflict Minerals Report and are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filed a Conflict Minerals Report as Exhibit 1.01 to this Form SD. Stereotaxis’ Conflict Minerals Report is available at </w:t>
      </w:r>
      <w:r>
        <w:rPr>
          <w:rFonts w:ascii="Times New Roman" w:cs="Times New Roman" w:eastAsia="Times New Roman" w:hAnsi="Times New Roman"/>
          <w:sz w:val="18"/>
          <w:szCs w:val="18"/>
          <w:u w:val="single" w:color="auto"/>
          <w:color w:val="auto"/>
        </w:rPr>
        <w:t>http://www.stereotaxis.com/legal/</w:t>
      </w:r>
      <w:r>
        <w:rPr>
          <w:rFonts w:ascii="Times New Roman" w:cs="Times New Roman" w:eastAsia="Times New Roman" w:hAnsi="Times New Roman"/>
          <w:sz w:val="18"/>
          <w:szCs w:val="18"/>
          <w:color w:val="auto"/>
        </w:rPr>
        <w:t>. The website and the information accessible through it are not incorporated into this Form SD.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w:t>
      </w:r>
      <w:r>
        <w:rPr>
          <w:rFonts w:ascii="Times New Roman" w:cs="Times New Roman" w:eastAsia="Times New Roman" w:hAnsi="Times New Roman"/>
          <w:sz w:val="18"/>
          <w:szCs w:val="18"/>
          <w:u w:val="single" w:color="auto"/>
          <w:color w:val="0000EE"/>
        </w:rPr>
        <w:t>Stereotaxis, Inc. Conflict Minerals Report for the reporting period January 1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STEREOTAXIS,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Patricia S. Williams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May 29, 2026</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Patricia S. Williams</w:t>
            </w:r>
          </w:p>
        </w:tc>
        <w:tc>
          <w:tcPr>
            <w:tcW w:w="22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w:t>
            </w:r>
          </w:p>
        </w:tc>
        <w:tc>
          <w:tcPr>
            <w:tcW w:w="5620" w:type="dxa"/>
            <w:vAlign w:val="bottom"/>
          </w:tcPr>
          <w:p>
            <w:pPr>
              <w:spacing w:after="0"/>
              <w:rPr>
                <w:sz w:val="20"/>
                <w:szCs w:val="20"/>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Stereotaxis,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Conflict Minerals Report for Stereotaxis, Inc. (“Stereotaxis”, “we,” “us,” and “our”) is for the period from January 1 to December 31, 2025 and is presented to comply with Rule 13p-1 under the Securities Exchange Act of 1934 (“Rule”). Terms used in this report are defined in the Rule and Form SD. Refer to those sources and to SEC Release No. 34-67716 issued by the Securities and Exchange Commission on August 22, 2012 for such definitions.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products include the Genesis RMN and the GenesisX RMN Systems, the Synchrony &amp; SynX Solutions, various interventional devices under the Map-iT, MAGiC and EMAGIN brands, and other related devices. Through our strategic relationships with fluoroscopy system manufacturers, providers of catheters and electrophysiology mapping systems, and other parties, we offer our customers x-ray systems and other accessory diagnostic and therapeutic devices.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Genesis RMN and the GenesisX RMN Systems are designed to enable physicians to complete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GenesisX RMN System, the latest generation of the Genesis RMN System, is designed to enhance the accessibility of Robotic Magnetic Navigation by reducing the lengthy construction cycle necessary to install prior generation RMN systems.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Synchrony system is designed to digitize and modernize the interventional catheter lab. Synchrony’s ultra-high-definition display consolidates the viewing and control of all disparate systems in the lab, offering an enhanced procedure experience with custom layouts, streamlined workflows, an intuitive user interface, and a decluttered environment. Synchrony digitizes the video streams with full fidelity and ultra-low latency, offering crystal-clear visualization. Its architecture allows obsolescence protection for labs as new technologies are introduced in the future. Synchrony is made available with SynX, a cloud-based HIPAA and GDPR-compliant app that allows for secure remote connectivity, collaboration, recording, and monitoring of the cath lab. These technologies are sold alongside RMN systems and as stand-alone solutions.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describes the process and results of Stereotaxis’ Conflict Minerals program. Stereotaxis performed a Reasonable Country of Origin Inquiry (RCOI) to determine the source of necessary conflict minerals in our products, and in accordance with the Rule then undertook due diligence measures on the source and chain of custody of those necessary conflict minerals. The purpose of this due diligence was to determine if any of the necessary conflict minerals originated from the Democratic Republic of the Congo (“DRC”) or an adjoining country (collectively defined as the “Covered Countries”) and may not have come from recycled or scrap sources, as part of determining whether such products may be considered “DRC conflict free.” Stereotaxis does not directly source minerals or transact with smelters or refiners.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the provisions of the Rule, this Conflict Minerals Report has not been audited by an independent private sector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Design of Conflict Minerals Program and Due Diligence Process</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Stereotaxis has a Conflict Minerals program designed to be in conformance with the Organisation for Economic Co-operation and Development Due Diligence Guidance for Responsible Supply Chains of Minerals from Conflict-Affected and High-Risk Areas,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Edition, including the Supplement on Tin, Tantalum and Tungsten, and the Supplement on Gold (collectively, the “OECD Guidance”). In the context of the OECD Guidance Stereotaxis is a “downstream company” in the conflict minerals supply chain. Summarized below are the five due diligence steps taken which align with the OECD Guidance five-step framework:</w:t>
      </w:r>
    </w:p>
    <w:p>
      <w:pPr>
        <w:spacing w:after="0" w:line="19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a strong company management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a Conflict Minerals Policy. It can be found on our website at </w:t>
      </w:r>
      <w:r>
        <w:rPr>
          <w:rFonts w:ascii="Times New Roman" w:cs="Times New Roman" w:eastAsia="Times New Roman" w:hAnsi="Times New Roman"/>
          <w:sz w:val="18"/>
          <w:szCs w:val="18"/>
          <w:u w:val="single" w:color="auto"/>
          <w:color w:val="auto"/>
        </w:rPr>
        <w:t>http://www.stereotaxis.com/legal/.</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internal cross-functional Conflict Minerals team that oversees the implementation of our Conflict Minerals program. The status of our Conflict Minerals program is reviewed with senior management. We maintain records relating to our Conflict Minerals program.</w:t>
      </w:r>
    </w:p>
    <w:p>
      <w:pPr>
        <w:jc w:val="both"/>
        <w:ind w:left="660" w:hanging="328"/>
        <w:spacing w:after="0" w:line="250"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system of controls and transparency over our supply chain using the industry-standard Conflict Minerals Reporting Template (“CMRT”), which is a supply chain survey designed to identify the maturity of our suppliers’ conflict minerals programs and identify the smelters and refiners that process the necessary conflict minerals contained in their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our suppliers of our company policy, and our commitment to be aligned with DRC conflict-free sourcing principles. Where suppliers are unaware of conflict minerals regulations or have an immature process, we seek to educate them.</w:t>
      </w:r>
    </w:p>
    <w:p>
      <w:pPr>
        <w:ind w:left="660" w:right="20" w:hanging="328"/>
        <w:spacing w:after="0" w:line="260"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a company-level grievance mechanism whereby anyone can confidentially call or email a concern or report a violation of a policy. Refer to the Stereotaxis Code of Conduct Handbook in the Ethics and Commitment section of our website at </w:t>
      </w:r>
      <w:r>
        <w:rPr>
          <w:rFonts w:ascii="Times New Roman" w:cs="Times New Roman" w:eastAsia="Times New Roman" w:hAnsi="Times New Roman"/>
          <w:sz w:val="18"/>
          <w:szCs w:val="18"/>
          <w:u w:val="single" w:color="auto"/>
          <w:color w:val="auto"/>
        </w:rPr>
        <w:t>http://www.stereotaxis.com/legal/</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and assessed risks in the conflict minerals supply chain:</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conflict minerals risks in our supply chain:</w:t>
      </w:r>
    </w:p>
    <w:p>
      <w:pPr>
        <w:spacing w:after="0" w:line="225"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all direct suppliers that supply us with products that might contain Conflict Minerals intentionally added and necessary for the functionality of those products.</w:t>
      </w:r>
    </w:p>
    <w:p>
      <w:pPr>
        <w:ind w:left="1300" w:hanging="320"/>
        <w:spacing w:after="0" w:line="250" w:lineRule="auto"/>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a Reasonable Country of Origin Inquiry (RCOI) with relevant suppliers of parts and materials used in products manufactured by Stereotaxis.</w:t>
      </w:r>
    </w:p>
    <w:p>
      <w:pPr>
        <w:jc w:val="both"/>
        <w:ind w:left="1300" w:hanging="320"/>
        <w:spacing w:after="0" w:line="250" w:lineRule="auto"/>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requested our direct suppliers provide us with a completed industry-standard CMRT. The CMRT includes a section identifying evidence of an active corporate conflict minerals program/policy by each respective supplier, as well as a list of Smelters or Refiners in the supplier’s conflict mineral supply chain.</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followed up with unresponsive suppliers, making multiple attempts to obtain information.</w:t>
      </w:r>
    </w:p>
    <w:p>
      <w:pPr>
        <w:spacing w:after="0" w:line="9" w:lineRule="exact"/>
        <w:rPr>
          <w:rFonts w:ascii="Times New Roman" w:cs="Times New Roman" w:eastAsia="Times New Roman" w:hAnsi="Times New Roman"/>
          <w:sz w:val="18"/>
          <w:szCs w:val="18"/>
          <w:color w:val="auto"/>
        </w:rPr>
      </w:pPr>
    </w:p>
    <w:p>
      <w:pPr>
        <w:ind w:left="1300" w:right="20" w:hanging="320"/>
        <w:spacing w:after="0" w:line="260" w:lineRule="auto"/>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CMRTs and any other documentation provided by our suppliers for completeness and reasonableness. We categorized suppliers according to the responses provided.</w:t>
      </w:r>
    </w:p>
    <w:p>
      <w:pPr>
        <w:spacing w:after="0" w:line="18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risks of adverse impacts by actively working to discontinue sourcing products from upstream suppliers when we identified a reasonable risk that they are sourcing from, or linked to any party committing serious abuses, consistent with Annex II of the OECD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strategy to respond to identified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the results of our RCOI and identified high risk suppliers to senior management.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risk management plan that includes seeking to reduce or eliminate high risk suppliers.</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ongoing risk reduction and management program, which includes a goal that all future product designs are DRC conflict free, periodically reviewing and updating the conflict minerals status of our existing products and striving over time to reduce or eliminate non-conflict-free minerals from the supply chain.</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monitored, and will continue to monitor changes in supplier conflict minerals status, as circumstances change with suppliers and as conflict minerals status ripples through the supply chain to end item manufacturers such as Stereotaxis.</w:t>
      </w:r>
    </w:p>
    <w:p>
      <w:pPr>
        <w:spacing w:after="0" w:line="18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Carried out independent third-party audit of supply chain due diligence at identified points in the supply chain: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a third-party which has a comprehensive Verification, Outreach and Due Diligence Process which provides us with detailed information and audit results related to the smelters or refiners in our supply chain.</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on supply chain due diligence: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publicly communicated our Conflict Minerals Sourcing Policy on our company website at </w:t>
      </w:r>
      <w:r>
        <w:rPr>
          <w:rFonts w:ascii="Times New Roman" w:cs="Times New Roman" w:eastAsia="Times New Roman" w:hAnsi="Times New Roman"/>
          <w:sz w:val="18"/>
          <w:szCs w:val="18"/>
          <w:u w:val="single" w:color="auto"/>
          <w:color w:val="auto"/>
        </w:rPr>
        <w:t>http://www.stereotaxis.com/legal/</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publicly disclosed this Conflict Minerals Report on our company website at </w:t>
      </w:r>
      <w:r>
        <w:rPr>
          <w:rFonts w:ascii="Times New Roman" w:cs="Times New Roman" w:eastAsia="Times New Roman" w:hAnsi="Times New Roman"/>
          <w:sz w:val="18"/>
          <w:szCs w:val="18"/>
          <w:u w:val="single" w:color="auto"/>
          <w:color w:val="auto"/>
        </w:rPr>
        <w:t>http://www.stereotaxis.com/legal/</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allowed by the Rule, obtaining an independent private sector audit of this Report was not required.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 of any website referred to in this Report is included for general information only and is not incorporated by reference in this Report.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Conflict Minerals program described above, Stereotaxis identified the suppliers and original equipment manufacturers in our direct supply chain who provide us with components, materials and assemblies where Conflict Minerals are present and necessary to functionality, or for which we were unsure whether the materials or components contained Conflict Minerals. We performed a RCOI with 139 suppliers and requested each of them to supply us with a CMRT. 83 of those suppliers provided us with a CMRT (an approximately 60% response rate). The incomplete response rate is a limitation on the comprehensiveness of our smelter identification and due diligence findings.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CMRTs we received contained a large number of smelter or refiner names for the facilities these suppliers and their upstream suppliers use to process Conflict Minerals, as well as the specific Conflict Mineral(s) used in their products. After correction, review, and removal of duplicate or alternate names, and elimination of entities we determined were not actually smelters or refiners, and elimination of entities for which we were unable to determine if they were a relevant smelter or refiner, we identified 360 unique smelters.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Stereotaxis expects our suppliers to provide CMRTs that represent their good faith effort to document their supply chain. We do not audit our suppliers’ process for doing RCOI, due diligence, or correctly reporting smelters in their supply chain. Therefore, the Stereotaxis smelter list, which is derived from all our suppliers’ smelter lists, could contain inaccuracies as a result. As nearly all of our suppliers report their supply chain at a company level, and not at the product level, they may be reporting to Stereotaxis via their CMRTs smelters or refiners that are not in the supply chain for the actual products that Stereotaxis procures from them, leading to the potential for identifying smelters or refiners that are not actually in our supply chain for the products we procure. Industry-wide limitations in CMRT data, including upstream opacity and inconsistent supplier maturity, inherently constrain the precision of smelter identification.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360 identified smelters or refiners in our supply chain, our analysis leads us to believe that:</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smelters are known to source, or there is reason to believe they may source, Conflict Minerals from the Covered Countries.</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smelters have unknown countries of origin for their minerals, and are also not certified as conformant. Therefore, we cannot, at this time, determine whether or not any of those smelters might have sourced Conflict Minerals from the Covered Countries.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SEC final rules for Conflict Minerals sourced from Covered Countries, because some smelters in our supply chain were identified as sourcing from Covered Countries, Stereotaxis is required to exercise, and has exercised, due diligence on the Conflict Minerals’ source and chain of custody. Additionally, Stereotaxis is required to follow, and has followed, a nationally or internationally recognized due diligence framework (specifically the OECD Guidance) and report the results thereof in a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Due Diligence Process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43 smelters in our supply chain that are known to source Conflict Minerals from the Covered Countries, Stereotaxis’ due diligence review indicates: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smelters are classified as RMAP-Conformant, meaning they have successfully completed an independent third-party audit under the Responsible Minerals Assurance Process (RMAP) administered by the Responsible Minerals Initiative (RMI). These smelters are considered conformant with the OECD Due Diligence Guidance. In addition, 6 of these 37 smelters also hold London Bullion Market Association (LBMA) Responsible Gold Certifications.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tungsten smelter is classified as RMAP-Active, indicating that it is currently participating in the RMAP audit program but has not yet completed the assessment or achieved conformance.</w:t>
      </w:r>
    </w:p>
    <w:p>
      <w:pPr>
        <w:ind w:left="660" w:right="2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smelters are not enrolled in any recognized responsible sourcing audit program, and we have no information indicating that they are pursuing RMAP conformance at this time.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supplier responses to our RCOI and the results of our due diligence, we were unable to determine that all smelters identified by our suppliers are RMAP-Conformant or otherwise free of risk associated with sourcing from the Covered Countries.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Stereotaxis did not terminate any supplier relationship solely due to the supplier’s sourcing of Conflict Minerals from the Covered Countries, as we support responsible mineral trade in the DRC region.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 Determination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responses received from our suppliers as part of our RCOI and due diligence efforts, we were not able to confirm the complete identification of all smelters in our supply chain, nor determine that all smelters reported by our suppliers are RMAP-Conformant or otherwise free of all risk associated with sourcing from the Covered Countries.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and Mine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identifies the smelter or refiner facilities that, to the extent known as a result of our RCOI process, may have processed the necessary conflict minerals contained in our products. A “Yes” entry in the rightmost column indicates the smelter or refiner has been designated as RMAP-Conformant by an independent third-party audit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8853 S.p.A.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CID002763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ABC Refinery Pty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CID002920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Abington Reldan Metals, LLC</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CID002708</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Advanced Chemical Company</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CID000015</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African Gold Refinery (*)</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CID003185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Uganda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Agosi AG</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CID000035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CID000019</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 Etihad Gold Refinery DMCC</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CID002560</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Arab</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Emirates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Albino Mountinho Lda.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CID002760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Portugal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Alexy Metals</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CID003500</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CID000041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Uzbekistan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CID000058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CID000077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ASAHI METALFINE, Inc.</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CID000082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CID000924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Asahi Refining USA Inc.</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CID000920</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CID000090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459"/>
        </w:trPr>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CID000103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Turkey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Attero Recycling Pvt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CID004697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CID002850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Africa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CID003461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Aurubis AG</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CID000113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CID002863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CID000128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CID000157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Sweden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CID000176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Caridad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CID000180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Mexico</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Cendres + Metaux S.A.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CID000189</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CGR Metalloys Pvt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CID003382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Chimet S.p.A.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CID000233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Chugai Mining</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CID000264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Coimpa Industrial LTDA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CID004010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CID000343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CID002867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Dijllah Gold Refinery FZC</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CID003348</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Arab</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Emirates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Dongwu Gold Group</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CID003663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CID000401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DSC (Do Sung Corporation)</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CID000359</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CID000425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CID003424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CID003425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Elite Industech Co., Ltd.</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CID004755</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Taiwan, Province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CID003487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CID003488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CID003489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CID003490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Emirates Gold DMCC</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CID002561</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Arab</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Emirates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CID002515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Zimbabwe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Fujairah Gold FZC</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CID002584</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Arab</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Emirates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GG Refinery Ltd.</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CID004506</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Tanzania, United</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Republic Of</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CID002852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CID000185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 by Gold Colombia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CID003641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Colombia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 Coast Refinery</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CID003186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Ghana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59"/>
        </w:trPr>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CID002030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Australia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CID001909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CID002312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CID000651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CID000671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CID000694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CID000711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CID000707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CID000773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HwaSeong CJ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CID000778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Impala Platinum - Base Metal Refinery (BMR)</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CID004604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Africa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CID004714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South Africa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CID004610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Africa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CID002587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Belgium</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CID000801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International Precious Metal Refiners</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CID002562</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Arab</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Emirates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CID000807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CID000814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Turkey</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Italpreziosi</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CID002765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JALAN &amp; Company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CID002893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 Mint</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CID000823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CID000855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CID000927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JSC Novosibirsk Refinery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CID000493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JSC Uralelectromed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CID000929</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CID000937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 Rasmussen</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CID003497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Norway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Kaloti Precious Metals</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CID002563</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Arab</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Emirates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Kazakhmys Smelting LLC</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CID000956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Kazakhstan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Kazzinc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CID000957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Kazakhstan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Kennecott Utah Copper LLC</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CID000969</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CID002511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Poland</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CID000981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Korea Zinc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CID002605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Kundan Care Products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CID003463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Kyrgyzaltyn JSC</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CID001029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Kyrgyzstan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CID002865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59"/>
        </w:trPr>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CID001032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Saudi Arabia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Lingbao Gold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CID001056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CID001058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L’Orfebre S.A.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CID002762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Andorra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LS MnM Inc.</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CID001078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 Metal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CID000689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CID001093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Marsam Metals</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CID002606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Materion</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CID001113</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CID001119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MD Overseas</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CID003548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CID003575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South Africa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Metallix Refining Inc.</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CID003557</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CID001149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CID001152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Singapore</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CID001147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CID001153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Metalor USA Refining Corporation</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CID001157</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CID001161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Mexico</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CID005014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Peru</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CID001188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CID001193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MKS PAMP SA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CID001352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MMTC-PAMP India Pvt.,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CID002509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CID002857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Malaysia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Morris and Watson</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CID002282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New Zealand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CID001204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CID001220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Turkey</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CID001236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Uzbekistan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NH Recytech Company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CID003189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Nihon Material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CID001259</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NOBLE METAL SERVICES</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CID003690</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Oegussa Oesterreichische Gold- und Silber-Scheideanstalt</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CID002779</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Austria</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Gesm.b.H.</w:t>
            </w:r>
          </w:p>
        </w:tc>
        <w:tc>
          <w:tcPr>
            <w:tcW w:w="2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CID001325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CID001326</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Krastsvetmet)</w:t>
            </w:r>
          </w:p>
        </w:tc>
        <w:tc>
          <w:tcPr>
            <w:tcW w:w="2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Pease &amp; Curren</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CID002872</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CID001362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CID002919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Chile</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441"/>
        </w:trPr>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CID001386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CID001397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CID001498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QG Refining, LLC</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CID003324</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CID001512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Africa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CID000522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REMONDIS PMR B.V.</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CID002582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Netherlands</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Canadian Mint</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CID001534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SAAMP</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CID002761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France</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Sabin Metal Corp.</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CID001546</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Safimet S.p.A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CID002973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SAFINA A.S.</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CID002290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Czechia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Sai Refinery</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CID002853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SAM Precious Metals FZ-LLC</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CID003666</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Arab</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Emirates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Samduck Precious Metals</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CID001555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SAMWON METALS Corp.</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CID001562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CID001585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Spain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CID001916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CID002525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CID001619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CID001622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CID002750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SHENZHEN JINJUNWEI RESOURCE COMPREHENSIVE</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CID004435</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 LTD.</w:t>
            </w:r>
          </w:p>
        </w:tc>
        <w:tc>
          <w:tcPr>
            <w:tcW w:w="2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CID002527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CID002588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CID001736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Singway Technology Co., Ltd.</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CID002516</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Taiwan, Province Of</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CID001756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Solar Applied Materials Technology Corp.</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CID001761</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Taiwan, Province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SOLEIL METALS (Chala One Plant)</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CID004704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Peru</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SOLEIL METALS (YAKARI Plant)</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CID004705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Peru</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Sovereign Metals</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CID003383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State Research Institute Center for Physical Sciences and</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CID003153</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Lithuania</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Sudan Gold Refinery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CID002567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Sudan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CID001798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SungEel HiMetal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CID002918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441"/>
        </w:trPr>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Super Dragon Technology Co., Ltd.</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CID001810</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Taiwan, Province Of</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T.C.A S.p.A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CID002580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CID001875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CID004491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CID001938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Tongling Nonferrous Jinguan (Ausmelt) Copper Industry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CID001947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TOO Tau-Ken-Altyn</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CID002615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Kazakhstan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Torecom</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CID001955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CID002314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Thailand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CID001980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Belgium</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United Precious Metal Refining, Inc.</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CID001993</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Valcambi S.A.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CID002003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WEEEREFINING</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CID003615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WIELAND Edelmetalle GmbH</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CID002778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CID002100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CID002129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Yunnan Copper Southwest Copper Branch</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CID000197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CID002224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CID002243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5D Production OU</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CID003926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Estonia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AMG Brasil</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CID001076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 Block Metals, LLC</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CID002504</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CID000460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CID002505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CID002558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Global Advanced Metals Boyertown</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CID002557</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CID000291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CID002492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CID002512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CID004813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CID002842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CID000914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CID000917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CID002506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KEMET de Mexico</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CID002539</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Mexico</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Materion Newton Inc.</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CID002548</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CID001163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CID001175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CID001192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CID001277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NPM Silmet OU</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CID001200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Estonia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PowerX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CID004054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Rwanda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QuantumClean</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CID001508</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CID002707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CID003583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CID001769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CID001869</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CID002544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Thailand</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TANIOBIS GmbH</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CID002545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CID002549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CID002550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Telex Metals</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CID001891</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CID001969</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Kazakhstan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CID000616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CID002508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CID001522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Alpha Assembly Solutions Inc</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CID000292</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CID002703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CID002773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Belgium</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Aurubis Berango</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CID002774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Spain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CID000228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CID003190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CID001070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CID003486</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CRM Synergies EMEA, S.L.U.</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CID003524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Spain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 Ayi Jaya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CID002570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CID000377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CID003356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Dowa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CID000402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Electro-Mechanical Facility of the Cao Bang Minerals &amp;</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CID002572</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Viet Nam</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Metallurgy Joint Stock Company</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 Vinto</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CID000438</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w w:val="98"/>
              </w:rPr>
              <w:t>Bolivia (Plurinational</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Of)</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CID000448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CID003582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CID000468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Poland</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CID003410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CID000942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CID000538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CID001908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CID000555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CID004754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CID003116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CID002844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CID001231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CID004796</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Co., Ltd</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CID003387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Rwanda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CID003379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CID002468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CID001105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Malaysia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CID004434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Malaysia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Melt Metais e Ligas S.A.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CID002500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Metallic Resources, Inc.</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CID001142</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CID001173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Mining Minerals Resources SARL</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CID004065</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Congo, Democratic</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Republic Of The</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Minsur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CID001182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Peru</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CID001191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CID002858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Malaysia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CID002573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Novosibirsk Tin Combine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CID001305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CID001314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Thailand</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CID002517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Operaciones Metalurgicas S.A.</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CID001337</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w w:val="98"/>
              </w:rPr>
              <w:t>Bolivia (Plurinational</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Of)</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 Kay Metal, Inc</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CID005189</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Pongpipat Company Limited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CID003208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Myanmar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59"/>
        </w:trPr>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CID003409</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CID000309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Arsed Indonesia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CID005067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Artha Cipta Langgeng</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CID001399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CID002503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Bangka Prima Tin</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CID002776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Cipta Persada Mulia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CID002696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Masbro Alam Stania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CID003380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Mitra Graha Raya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CID004685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CID001453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CID003449</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Panca Mega Persada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CID001457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Premium Tin Indonesia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CID000313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Prima Timah Utama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CID001458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CID003868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Rajehan Ariq</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CID002593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CID001477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CID001482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CID002706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CID004692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Rui Da Hung</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CID001539</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Taiwan, Province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 Ligas</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CID002756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Takehara PVD Materials Plant / PVD Materials Division of</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CID004403</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MITSUI MINING &amp; SMELTING CO., LTD.</w:t>
            </w:r>
          </w:p>
        </w:tc>
        <w:tc>
          <w:tcPr>
            <w:tcW w:w="2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Thaisarco</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CID001898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Thailand</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CID002180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Tin Technology &amp; Refining</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CID003325</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CID002574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CID002015</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CID002036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CID004724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Uganda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CID002158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CID003397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A.L.M.T. Corp.</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CID000004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ACL Metais Eireli</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CID002833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CID003427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Artek LLC</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CID003553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CID002502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459"/>
        </w:trPr>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CID002641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CID000258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CNMC (Guangxi) PGMA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CID000281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Cronimet Brasil Ltda</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CID003468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DONGKUK INDUSTRIES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CID004060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CID003609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CID002315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CID002494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Global Tungsten &amp; Powders LLC</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CID000568</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CID000218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CID002541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HANNAE FOR T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CID003978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CID003417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CID000769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8"/>
        </w:trPr>
        <w:tc>
          <w:tcPr>
            <w:tcW w:w="1120" w:type="dxa"/>
            <w:vAlign w:val="bottom"/>
            <w:gridSpan w:val="2"/>
            <w:shd w:val="clear" w:color="auto" w:fill="CCEEFF"/>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Hunan Shizhuyuan Nonferrous Metals Co., Ltd. Chenzhou Tungsten</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CID002513</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Branch</w:t>
            </w:r>
          </w:p>
        </w:tc>
        <w:tc>
          <w:tcPr>
            <w:tcW w:w="2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 JSC</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CID002649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CID000825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CID002551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CID002321</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CID002313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CID002318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CID002317</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CID002316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Jing Yuan Tungsten Technology Co., Ltd.</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CID005012</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Taiwan, Province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CID003408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CID004619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1120" w:type="dxa"/>
            <w:vAlign w:val="bottom"/>
            <w:gridSpan w:val="2"/>
            <w:shd w:val="clear" w:color="auto" w:fill="CCEEFF"/>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Kennametal Fallon</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CID000966</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98"/>
        </w:trPr>
        <w:tc>
          <w:tcPr>
            <w:tcW w:w="112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Kennametal Huntsville</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CID000105</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1120" w:type="dxa"/>
            <w:vAlign w:val="bottom"/>
            <w:gridSpan w:val="2"/>
            <w:shd w:val="clear" w:color="auto" w:fill="CCEEFF"/>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LAOS SOUTHERN MINING SMELTING SOLE CO.,LTD</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CID005017</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Lao People’s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Democratic Republic</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98"/>
        </w:trPr>
        <w:tc>
          <w:tcPr>
            <w:tcW w:w="112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Lianyou Advanced Materials Co., Ltd.</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CID004397</w:t>
            </w: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Taiwan, Province Of</w:t>
            </w:r>
          </w:p>
        </w:tc>
        <w:tc>
          <w:tcPr>
            <w:tcW w:w="11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1120" w:type="dxa"/>
            <w:vAlign w:val="bottom"/>
            <w:gridSpan w:val="2"/>
            <w:shd w:val="clear" w:color="auto" w:fill="CCEEFF"/>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Lianyou Metals Co., Ltd.</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CID003407</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Taiwan, Province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Vostok</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CID003643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MALAMET SMELTING SDN. BHD.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CID004056</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Malaysia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CID002319</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CID002543</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459"/>
        </w:trPr>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Or Refiner</w:t>
            </w:r>
          </w:p>
        </w:tc>
        <w:tc>
          <w:tcPr>
            <w:tcW w:w="2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38"/>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Smelter</w:t>
            </w:r>
          </w:p>
        </w:tc>
      </w:tr>
      <w:tr>
        <w:trPr>
          <w:trHeight w:val="223"/>
        </w:trPr>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Moliren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CID002845</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CID004034</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8"/>
        </w:trPr>
        <w:tc>
          <w:tcPr>
            <w:tcW w:w="1120" w:type="dxa"/>
            <w:vAlign w:val="bottom"/>
            <w:gridSpan w:val="2"/>
            <w:shd w:val="clear" w:color="auto" w:fill="CCEEFF"/>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Niagara Refining LLC</w:t>
            </w: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CID002589</w:t>
            </w:r>
          </w:p>
        </w:tc>
        <w:tc>
          <w:tcPr>
            <w:tcW w:w="17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1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Yes</w:t>
            </w:r>
          </w:p>
        </w:tc>
      </w:tr>
      <w:tr>
        <w:trPr>
          <w:trHeight w:val="234"/>
        </w:trPr>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NPP Tyazhmetprom LLC</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CID003416</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OOO “Technolom” 1</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CID003614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OOO “Technolom” 2</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CID003612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CID004797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CID004438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Philippines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CID002827</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S.P.T. spol.s r.o.</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CID005068</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Czechia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CID004430</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CID002542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Tungamoy Metals Inc.</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CID005248</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CID003993</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CID002724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Uzbekistan Technological Metallurgical Complex JSC</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CID002660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Uzbekistan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CID002044</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Austria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CID002320</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CID002082</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Tungsten</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CID003662</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79" w:lineRule="exact"/>
        <w:rPr>
          <w:sz w:val="20"/>
          <w:szCs w:val="20"/>
          <w:color w:val="auto"/>
        </w:rPr>
      </w:pPr>
    </w:p>
    <w:p>
      <w:pPr>
        <w:jc w:val="both"/>
        <w:ind w:left="660" w:hanging="4"/>
        <w:spacing w:after="0" w:line="256" w:lineRule="auto"/>
        <w:tabs>
          <w:tab w:leader="none" w:pos="9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direct suppliers reported the presence of this entity (African Gold Refinery, CID003185) (“AGR”) that was sanctioned on March 17, 2022 by the United States Department of Treasury, Office of Foreign Assets Control, in their supply chains. Because of the over-reporting nature of the industry CMRT information collection process, including near-universal reporting at the company level as opposed to at the product level, and the nature of the supply chains and goods, we are unable to confirm whether this, or any other, smelter or refiner is or was active in our supply chain. Stereotaxis has not identified any direct transactions or contractual relationships with AGR and does not knowingly engage with OFAC-sanctioned entities. Stereotaxis has communicated its expectations regarding compliance with applicable sanctions regulations to its suppliers.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Smelters or Refiners That Sourced from the Covered Countries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lists the smelter or refiner facilities which, to the extent known, processed the necessary conflict minerals in our products or products produced by companies in our supply chain that were sourced from the Covered Countries, and hence were subject to due diligence.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Conformant Certification designations in the table are:</w:t>
      </w:r>
    </w:p>
    <w:p>
      <w:pPr>
        <w:spacing w:after="0" w:line="22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LBMA</w:t>
      </w:r>
      <w:r>
        <w:rPr>
          <w:rFonts w:ascii="Times New Roman" w:cs="Times New Roman" w:eastAsia="Times New Roman" w:hAnsi="Times New Roman"/>
          <w:sz w:val="18"/>
          <w:szCs w:val="18"/>
          <w:color w:val="auto"/>
        </w:rPr>
        <w:t>: The smelter has obtained a Responsible Gold Certification from the London Bullion Market Association (LBMA).</w:t>
      </w:r>
    </w:p>
    <w:p>
      <w:pPr>
        <w:spacing w:after="0" w:line="3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RMAP</w:t>
      </w:r>
      <w:r>
        <w:rPr>
          <w:rFonts w:ascii="Times New Roman" w:cs="Times New Roman" w:eastAsia="Times New Roman" w:hAnsi="Times New Roman"/>
          <w:sz w:val="18"/>
          <w:szCs w:val="18"/>
          <w:color w:val="auto"/>
        </w:rPr>
        <w:t>: The smelter has an active certification or is in the process of renewing their certification as a conformant smelter in the Responsible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Minerals Assurance Process (RMAP) from the Responsible Minerals Initiative (RMI).</w:t>
      </w:r>
    </w:p>
    <w:p>
      <w:pPr>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RMAP-Active: </w:t>
      </w:r>
      <w:r>
        <w:rPr>
          <w:rFonts w:ascii="Times New Roman" w:cs="Times New Roman" w:eastAsia="Times New Roman" w:hAnsi="Times New Roman"/>
          <w:sz w:val="18"/>
          <w:szCs w:val="18"/>
          <w:color w:val="auto"/>
        </w:rPr>
        <w:t>The smelter is actively participating in the Responsible Minerals Assurance Process (RMAP) audit program but has not yet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the audit or been designated as RMAP-Conformant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RMI Smelter</w:t>
            </w: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Smelter Or</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Conformant</w:t>
            </w:r>
          </w:p>
        </w:tc>
      </w:tr>
      <w:tr>
        <w:trPr>
          <w:trHeight w:val="238"/>
        </w:trPr>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20" w:type="dxa"/>
            <w:vAlign w:val="bottom"/>
          </w:tcPr>
          <w:p>
            <w:pPr>
              <w:spacing w:after="0"/>
              <w:rPr>
                <w:sz w:val="20"/>
                <w:szCs w:val="20"/>
                <w:color w:val="auto"/>
              </w:rPr>
            </w:pPr>
          </w:p>
        </w:tc>
        <w:tc>
          <w:tcPr>
            <w:tcW w:w="56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Refiner Location</w:t>
            </w:r>
          </w:p>
        </w:tc>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Certifications</w:t>
            </w:r>
          </w:p>
        </w:tc>
      </w:tr>
      <w:tr>
        <w:trPr>
          <w:trHeight w:val="223"/>
        </w:trPr>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5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CID000041</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Uzbekistan</w:t>
            </w:r>
          </w:p>
        </w:tc>
        <w:tc>
          <w:tcPr>
            <w:tcW w:w="1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LBMA,</w:t>
            </w:r>
          </w:p>
        </w:tc>
      </w:tr>
      <w:tr>
        <w:trPr>
          <w:trHeight w:val="234"/>
        </w:trPr>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Asaka Riken Co., Ltd.</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CID000090</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Glencore Canada Corporation - CCR Refinery</w:t>
            </w:r>
          </w:p>
        </w:tc>
        <w:tc>
          <w:tcPr>
            <w:tcW w:w="15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CID000185</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Canada</w:t>
            </w:r>
          </w:p>
        </w:tc>
        <w:tc>
          <w:tcPr>
            <w:tcW w:w="1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LBMA,</w:t>
            </w:r>
          </w:p>
        </w:tc>
      </w:tr>
      <w:tr>
        <w:trPr>
          <w:trHeight w:val="234"/>
        </w:trPr>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8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Jiangxi Copper Co., Ltd.</w:t>
            </w:r>
          </w:p>
        </w:tc>
        <w:tc>
          <w:tcPr>
            <w:tcW w:w="156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CID000855</w:t>
            </w:r>
          </w:p>
        </w:tc>
        <w:tc>
          <w:tcPr>
            <w:tcW w:w="1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LBMA,</w:t>
            </w:r>
          </w:p>
        </w:tc>
      </w:tr>
      <w:tr>
        <w:trPr>
          <w:trHeight w:val="234"/>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Mitsubishi Materials Corporation</w:t>
            </w:r>
          </w:p>
        </w:tc>
        <w:tc>
          <w:tcPr>
            <w:tcW w:w="15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CID001188</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Japan</w:t>
            </w:r>
          </w:p>
        </w:tc>
        <w:tc>
          <w:tcPr>
            <w:tcW w:w="1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LBMA,</w:t>
            </w:r>
          </w:p>
        </w:tc>
      </w:tr>
      <w:tr>
        <w:trPr>
          <w:trHeight w:val="234"/>
        </w:trPr>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8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Nihon Material Co., Ltd.</w:t>
            </w:r>
          </w:p>
        </w:tc>
        <w:tc>
          <w:tcPr>
            <w:tcW w:w="156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CID001259</w:t>
            </w:r>
          </w:p>
        </w:tc>
        <w:tc>
          <w:tcPr>
            <w:tcW w:w="1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Japan</w:t>
            </w:r>
          </w:p>
        </w:tc>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LBMA,</w:t>
            </w:r>
          </w:p>
        </w:tc>
      </w:tr>
      <w:tr>
        <w:trPr>
          <w:trHeight w:val="234"/>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CID001386</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60" w:type="dxa"/>
            <w:vAlign w:val="bottom"/>
            <w:shd w:val="clear" w:color="auto" w:fill="CCEEFF"/>
          </w:tcPr>
          <w:p>
            <w:pPr>
              <w:spacing w:after="0"/>
              <w:rPr>
                <w:sz w:val="18"/>
                <w:szCs w:val="18"/>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Gold</w:t>
            </w:r>
          </w:p>
        </w:tc>
        <w:tc>
          <w:tcPr>
            <w:tcW w:w="58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Rand Refinery (Pty) Ltd.</w:t>
            </w:r>
          </w:p>
        </w:tc>
        <w:tc>
          <w:tcPr>
            <w:tcW w:w="156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CID001512</w:t>
            </w:r>
          </w:p>
        </w:tc>
        <w:tc>
          <w:tcPr>
            <w:tcW w:w="1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South Africa</w:t>
            </w:r>
          </w:p>
        </w:tc>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LBMA,</w:t>
            </w:r>
          </w:p>
        </w:tc>
      </w:tr>
      <w:tr>
        <w:trPr>
          <w:trHeight w:val="234"/>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Samduck Precious Metals</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CID001555</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AMG Brasil</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CID001076</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CID000460</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CID002558</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Global Advanced Metals Boyertown</w:t>
            </w:r>
          </w:p>
        </w:tc>
        <w:tc>
          <w:tcPr>
            <w:tcW w:w="15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CID002557</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RMAP</w:t>
            </w:r>
          </w:p>
        </w:tc>
      </w:tr>
      <w:tr>
        <w:trPr>
          <w:trHeight w:val="234"/>
        </w:trPr>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w:t>
            </w:r>
          </w:p>
        </w:tc>
        <w:tc>
          <w:tcPr>
            <w:tcW w:w="106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CID000291</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CID000914</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Jiujiang Tanbre Co., Ltd.</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CID000917</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CID002506</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KEMET de Mexico</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CID002539</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Materion Newton Inc.</w:t>
            </w:r>
          </w:p>
        </w:tc>
        <w:tc>
          <w:tcPr>
            <w:tcW w:w="15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CID002548</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United States Of</w:t>
            </w:r>
          </w:p>
        </w:tc>
        <w:tc>
          <w:tcPr>
            <w:tcW w:w="1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RMAP</w:t>
            </w:r>
          </w:p>
        </w:tc>
      </w:tr>
      <w:tr>
        <w:trPr>
          <w:trHeight w:val="234"/>
        </w:trPr>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w:t>
            </w:r>
          </w:p>
        </w:tc>
        <w:tc>
          <w:tcPr>
            <w:tcW w:w="106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CID001277</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Taki Chemical Co., Ltd.</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CID001869</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TANIOBIS Co., Ltd.</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CID002544</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TANIOBIS GmbH</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CID002545</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TANIOBIS Japan Co., Ltd.</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CID002549</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CID002550</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CID001969</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Kazakhstan</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CID000616</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Aurubis Beerse</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CID002773</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EM Vinto</w:t>
            </w:r>
          </w:p>
        </w:tc>
        <w:tc>
          <w:tcPr>
            <w:tcW w:w="15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CID000438</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Bolivia</w:t>
            </w:r>
          </w:p>
        </w:tc>
        <w:tc>
          <w:tcPr>
            <w:tcW w:w="1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(Plurinational State</w:t>
            </w:r>
          </w:p>
        </w:tc>
        <w:tc>
          <w:tcPr>
            <w:tcW w:w="1060" w:type="dxa"/>
            <w:vAlign w:val="bottom"/>
            <w:shd w:val="clear" w:color="auto" w:fill="CCEEFF"/>
          </w:tcPr>
          <w:p>
            <w:pPr>
              <w:spacing w:after="0"/>
              <w:rPr>
                <w:sz w:val="18"/>
                <w:szCs w:val="18"/>
                <w:color w:val="auto"/>
              </w:rPr>
            </w:pPr>
          </w:p>
        </w:tc>
      </w:tr>
      <w:tr>
        <w:trPr>
          <w:trHeight w:val="234"/>
        </w:trPr>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w:t>
            </w:r>
          </w:p>
        </w:tc>
        <w:tc>
          <w:tcPr>
            <w:tcW w:w="106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CID002468</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CID001105</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1060" w:type="dxa"/>
            <w:vAlign w:val="bottom"/>
            <w:shd w:val="clear" w:color="auto" w:fill="CCEEFF"/>
          </w:tcPr>
          <w:p>
            <w:pPr>
              <w:spacing w:after="0"/>
              <w:rPr>
                <w:sz w:val="18"/>
                <w:szCs w:val="18"/>
                <w:color w:val="auto"/>
              </w:rPr>
            </w:pPr>
          </w:p>
        </w:tc>
      </w:tr>
      <w:tr>
        <w:trPr>
          <w:trHeight w:val="459"/>
        </w:trPr>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RMI Smelter</w:t>
            </w: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Smelter Or</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Conformant</w:t>
            </w:r>
          </w:p>
        </w:tc>
      </w:tr>
      <w:tr>
        <w:trPr>
          <w:trHeight w:val="238"/>
        </w:trPr>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20" w:type="dxa"/>
            <w:vAlign w:val="bottom"/>
          </w:tcPr>
          <w:p>
            <w:pPr>
              <w:spacing w:after="0"/>
              <w:rPr>
                <w:sz w:val="20"/>
                <w:szCs w:val="20"/>
                <w:color w:val="auto"/>
              </w:rPr>
            </w:pPr>
          </w:p>
        </w:tc>
        <w:tc>
          <w:tcPr>
            <w:tcW w:w="56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Refiner Location</w:t>
            </w:r>
          </w:p>
        </w:tc>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Certifications</w:t>
            </w:r>
          </w:p>
        </w:tc>
      </w:tr>
      <w:tr>
        <w:trPr>
          <w:trHeight w:val="223"/>
        </w:trPr>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5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Operaciones Metalurgicas S.A.</w:t>
            </w:r>
          </w:p>
        </w:tc>
        <w:tc>
          <w:tcPr>
            <w:tcW w:w="15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CID001337</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Bolivia</w:t>
            </w:r>
          </w:p>
        </w:tc>
        <w:tc>
          <w:tcPr>
            <w:tcW w:w="1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(Plurinational State</w:t>
            </w:r>
          </w:p>
        </w:tc>
        <w:tc>
          <w:tcPr>
            <w:tcW w:w="1060" w:type="dxa"/>
            <w:vAlign w:val="bottom"/>
            <w:shd w:val="clear" w:color="auto" w:fill="CCEEFF"/>
          </w:tcPr>
          <w:p>
            <w:pPr>
              <w:spacing w:after="0"/>
              <w:rPr>
                <w:sz w:val="18"/>
                <w:szCs w:val="18"/>
                <w:color w:val="auto"/>
              </w:rPr>
            </w:pPr>
          </w:p>
        </w:tc>
      </w:tr>
      <w:tr>
        <w:trPr>
          <w:trHeight w:val="234"/>
        </w:trPr>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w:t>
            </w:r>
          </w:p>
        </w:tc>
        <w:tc>
          <w:tcPr>
            <w:tcW w:w="106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Thaisarco</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CID001898</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CID002015</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 Nam</w:t>
            </w:r>
          </w:p>
        </w:tc>
        <w:tc>
          <w:tcPr>
            <w:tcW w:w="10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A.L.M.T. Corp.</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CID000004</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CID002502</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 Nam</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CID000258</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Tungsten</w:t>
            </w:r>
          </w:p>
        </w:tc>
        <w:tc>
          <w:tcPr>
            <w:tcW w:w="5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Ganzhou Jiangwu Ferrotungsten Co., Ltd.</w:t>
            </w:r>
          </w:p>
        </w:tc>
        <w:tc>
          <w:tcPr>
            <w:tcW w:w="15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CID002315</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1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RMAP -</w:t>
            </w:r>
          </w:p>
        </w:tc>
      </w:tr>
      <w:tr>
        <w:trPr>
          <w:trHeight w:val="234"/>
        </w:trPr>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H.C. Starck Tungsten GmbH</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CID002541</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Hydrometallurg, JSC</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CID002649</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CID002317</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CID002320</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Xiamen Tungsten Co., Ltd.</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CID002082</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 of Origin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countries of origin of the Conflict Minerals processed by the smelters and refiners that may be in our supply chain include the following countries: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Argentina; Armenia; Australia; Austria; Belgium; Bermuda; Bolivia (Plurinational State Of); Brazil; Burundi; Cambodia; Canada; Chile; China; Colombia; Congo; Congo, Democratic Republic Of The; Cote D’ivoire; Czechia; Djibouti; Ecuador; Egypt; Estonia; Ethiopia; Finland; France; Germany; Ghana; Guinea; Guyana; Hong Kong; Hungary; India; Indonesia; Ireland; Israel; Italy; Japan; Jersey; Kazakhstan; Korea, Republic Of; Kyrgyzstan; Lao People’s Democratic Republic; Luxembourg; Madagascar; Malaysia; Mali; Mexico; Mongolia; Mozambique; Myanmar; Namibia; Netherlands; New Zealand; Niger; Nigeria; Papua New Guinea; Peru; Philippines; Poland; Portugal; Russian Federation; Rwanda; Saudi Arabia; Sierra Leone; Singapore; Slovakia; South Africa; Spain; Suriname; Sweden; Switzerland; Taiwan, Province Of China; Tajikistan; Tanzania, United Republic Of; Thailand; Turkey; United Arab Emirates; United Kingdom Of Great Britain And Northern Ireland; United States Of America; Uzbekistan; Viet Nam; Zambia; Zimbabwe.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Tantalum: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Angola; Argentina; Australia; Austria; Belarus; Belgium; Bolivia (Plurinational State Of); Brazil; Burundi; Cambodia; Canada; Central African Republic; Chile; China; Colombia; Congo; Congo, Democratic Republic Of The; Cote D’ivoire; Czechia; Djibouti; Ecuador; Egypt; Estonia; Ethiopia; France; Germany; Ghana; Guinea; Guyana; Hungary; India; Indonesia; Ireland; Israel; Italy; Japan; Jersey; Kazakhstan; Kenya; Korea, Republic Of; Lao People’s Democratic Republic; Luxembourg; Madagascar; Malaysia; Mali; Mexico; Mongolia; Mozambique; Myanmar; Namibia; Netherlands; Niger; Nigeria; Peru; Philippines; Poland; Portugal; Russian Federation; Rwanda; Sierra Leone; Singapore; Slovakia; South Africa; South Sudan; Spain; Suriname; Switzerland; Taiwan, Province Of China; Tanzania, United Republic Of; Thailand; Uganda; United Kingdom Of Great Britain And Northern Ireland; United States Of America; Viet Nam; Zambia; Zimbabwe.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Tin: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Angola; Argentina; Australia; Austria; Belgium; Bolivia (Plurinational State Of); Brazil; Burundi; Cambodia; Canada; Central African Republic; Chile; China; Colombia; Congo; Congo, Democratic Republic Of The; Cote D’ivoire; Czechia; Djibouti; Ecuador; Egypt; Estonia; Ethiopia; France; Germany; Guyana; Hong Kong; Hungary; India; Indonesia; Ireland; Israel; Japan; Jersey; Kazakhstan; Kenya; Korea, Republic Of; Kyrgyzstan; Lao People’s Democratic Republic; Luxembourg; Madagascar; Malaysia; Mexico; Mongolia; Morocco; Mozambique; Myanmar; Namibia; Netherlands; Nigeria; Papua New Guinea; Peru; Philippines; Poland; Portugal; Russian Federation; Rwanda; Sierra Leone; Singapore; Slovakia; South Africa; South Sudan; Spain; Suriname; Sweden; Switzerland; Taiwan, Province Of China; Tanzania, United Republic Of; Thailand; Turkey; Uganda; United Kingdom Of Great Britain And Northern Ireland; United States Of America; Uzbekistan; Viet Nam; Zambia; Zimbabwe.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Tungsten: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Angola; Argentina; Australia; Austria; Belgium; Bolivia (Plurinational State Of); Brazil; Burundi; Cambodia; Canada; Central African Republic; Chile; China; Colombia; Congo; Congo, Democratic Republic Of The; Cote D’ivoire; Czechia; Djibouti; Ecuador; Egypt; Estonia; Ethiopia; France; Germany; Guinea; Guyana; Hungary; India; Indonesia; Ireland; Israel; Japan; Kazakhstan; Korea, Republic Of; Lao People’s Democratic Republic; Luxembourg; Madagascar; Malaysia; Mexico; Mongolia; Mozambique; Myanmar; Namibia; Netherlands; Niger; Nigeria; Papua New Guinea; Peru; Philippines; Portugal; Russian Federation; Rwanda; Sierra Leone; Singapore; Slovakia; South Africa; South Sudan; Spain; Suriname; Switzerland; Taiwan, Province Of China; Tanzania, United Republic Of; Thailand; Uganda; United Kingdom Of Great Britain And Northern Ireland; United States Of America; Viet Nam; Zambia; Zimbabwe.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Steps to be Taken to Mitigate Risk</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Stereotaxis plans to continue to work with our suppliers as deemed appropriate to help them understand and satisfy our conflict-free and reporting expectations. We expect suppliers to maintain active conflict minerals programs and to improve the quality and completeness of their CMRT submissions over time. We will continue to monitor the progress of suppliers who report that they are sourcing from non-conformant smelters believed to source conflict minerals from the Covered Countries, work to improve supplier response rates, and continue to evolve our internal due diligence determination process.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conflict minerals disclosure is made in good faith and based on our best efforts. However, other factors could have led to errors in the disclosure. They include, but are not limited to, gaps in supplier data, suppliers providing data at the company level as opposed to at the product level, errors in supplier knowledge, gaps in smelter auditing processes, errors in public data, errors in language translation, and delays in reporting data through the lengthy supply chain that exists between the upstream smelters or refiners and Stereotaxis as an end-item manufacturer. Even with a robust due diligence program, residual risk remains due to the complexity and opacity of global mineral supply chains.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Specialized Disclosure Report on Form SD contains forward looking statements within the meaning of Section 27A of the Securities Act of 1933 and Section 21E of the Securities Exchange Act of 1934. These statements include any plans or intentions to improve the number and quality of supplier response rates and steps we intend to take to mitigate risk in our supply chain. These forward-looking statements involve risks and uncertainties that could cause actual results to differ materially from those projected. In particular, Stereotaxis’ actions and the results of those actions may be affected by: (a) changes in global regulations related to the extraction of and disclosure obligations related to Conflict Minerals; (b) the ability of our direct suppliers to provide accurate information in response to our requests; (c) the availability of alternate sources of materials necessary to the functionality or production of our products on commercially reasonable terms or at all; (d) the ability of certified smelters to meet demand for raw materials; and (e) limits on our ability to unilaterally influence supplier behavior. These forward-looking statements are made as of the date hereof, and Stereotaxis assumes no obligation to update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
    <w:nsid w:val="46E87CCD"/>
    <w:multiLevelType w:val="hybridMultilevel"/>
    <w:lvl w:ilvl="0">
      <w:lvlJc w:val="left"/>
      <w:lvlText w:val="%1."/>
      <w:numFmt w:val="decimal"/>
      <w:start w:val="3"/>
    </w:lvl>
    <w:lvl w:ilvl="1">
      <w:lvlJc w:val="left"/>
      <w:lvlText w:val="%2)"/>
      <w:numFmt w:val="low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2026-05-29T15:26:18Z</dcterms:created>
  <dcterms:modified xsi:type="dcterms:W3CDTF">2026-05-29T15:26:18Z</dcterms:modified>
</cp:coreProperties>
</file>