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7791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77913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Isaac Paul J</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right="900"/>
        <w:spacing w:after="0" w:line="292" w:lineRule="auto"/>
        <w:rPr>
          <w:sz w:val="20"/>
          <w:szCs w:val="20"/>
          <w:color w:val="auto"/>
        </w:rPr>
      </w:pPr>
      <w:r>
        <w:rPr>
          <w:rFonts w:ascii="Arial" w:cs="Arial" w:eastAsia="Arial" w:hAnsi="Arial"/>
          <w:sz w:val="17"/>
          <w:szCs w:val="17"/>
          <w:color w:val="0000FF"/>
        </w:rPr>
        <w:t>C/O ARBITER PARTNERS CAPITAL MANAGEMENT</w:t>
      </w:r>
    </w:p>
    <w:p>
      <w:pPr>
        <w:spacing w:after="0" w:line="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LLC, 530 FIFTH AVENUE, 20TH FLOOR</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Stereotaxis,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STXS</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0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70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260" w:type="dxa"/>
            <w:vAlign w:val="bottom"/>
            <w:tcBorders>
              <w:bottom w:val="single" w:sz="8" w:color="0000EE"/>
            </w:tcBorders>
          </w:tcPr>
          <w:p>
            <w:pPr>
              <w:spacing w:after="0"/>
              <w:rPr>
                <w:sz w:val="3"/>
                <w:szCs w:val="3"/>
                <w:color w:val="auto"/>
              </w:rPr>
            </w:pPr>
          </w:p>
        </w:tc>
        <w:tc>
          <w:tcPr>
            <w:tcW w:w="2360" w:type="dxa"/>
            <w:vAlign w:val="bottom"/>
          </w:tcPr>
          <w:p>
            <w:pPr>
              <w:spacing w:after="0"/>
              <w:rPr>
                <w:sz w:val="3"/>
                <w:szCs w:val="3"/>
                <w:color w:val="auto"/>
              </w:rPr>
            </w:pPr>
          </w:p>
        </w:tc>
        <w:tc>
          <w:tcPr>
            <w:tcW w:w="1700" w:type="dxa"/>
            <w:vAlign w:val="bottom"/>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440" w:type="dxa"/>
            <w:vAlign w:val="bottom"/>
          </w:tcPr>
          <w:p>
            <w:pPr>
              <w:spacing w:after="0"/>
              <w:rPr>
                <w:sz w:val="3"/>
                <w:szCs w:val="3"/>
                <w:color w:val="auto"/>
              </w:rPr>
            </w:pP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70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2360" w:type="dxa"/>
            <w:vAlign w:val="bottom"/>
            <w:tcBorders>
              <w:bottom w:val="single" w:sz="8" w:color="2C2C2C"/>
            </w:tcBorders>
          </w:tcPr>
          <w:p>
            <w:pPr>
              <w:spacing w:after="0"/>
              <w:rPr>
                <w:sz w:val="5"/>
                <w:szCs w:val="5"/>
                <w:color w:val="auto"/>
              </w:rPr>
            </w:pPr>
          </w:p>
        </w:tc>
        <w:tc>
          <w:tcPr>
            <w:tcW w:w="170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440" w:type="dxa"/>
            <w:vAlign w:val="bottom"/>
            <w:vMerge w:val="restart"/>
          </w:tcPr>
          <w:p>
            <w:pPr>
              <w:ind w:left="140"/>
              <w:spacing w:after="0"/>
              <w:rPr>
                <w:sz w:val="20"/>
                <w:szCs w:val="20"/>
                <w:color w:val="auto"/>
              </w:rPr>
            </w:pPr>
            <w:r>
              <w:rPr>
                <w:rFonts w:ascii="Arial" w:cs="Arial" w:eastAsia="Arial" w:hAnsi="Arial"/>
                <w:sz w:val="17"/>
                <w:szCs w:val="17"/>
                <w:color w:val="0000FF"/>
              </w:rPr>
              <w:t>X</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70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170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440" w:type="dxa"/>
            <w:vAlign w:val="bottom"/>
            <w:vMerge w:val="continue"/>
          </w:tcPr>
          <w:p>
            <w:pPr>
              <w:spacing w:after="0"/>
              <w:rPr>
                <w:sz w:val="6"/>
                <w:szCs w:val="6"/>
                <w:color w:val="auto"/>
              </w:rPr>
            </w:pP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8"/>
        </w:trPr>
        <w:tc>
          <w:tcPr>
            <w:tcW w:w="1460" w:type="dxa"/>
            <w:vAlign w:val="bottom"/>
            <w:gridSpan w:val="3"/>
            <w:vMerge w:val="restart"/>
          </w:tcPr>
          <w:p>
            <w:pPr>
              <w:ind w:left="80"/>
              <w:spacing w:after="0"/>
              <w:rPr>
                <w:sz w:val="20"/>
                <w:szCs w:val="20"/>
                <w:color w:val="auto"/>
              </w:rPr>
            </w:pPr>
            <w:r>
              <w:rPr>
                <w:rFonts w:ascii="Arial" w:cs="Arial" w:eastAsia="Arial" w:hAnsi="Arial"/>
                <w:sz w:val="17"/>
                <w:szCs w:val="17"/>
                <w:color w:val="0000FF"/>
              </w:rPr>
              <w:t>09/12/2023</w:t>
            </w:r>
          </w:p>
        </w:tc>
        <w:tc>
          <w:tcPr>
            <w:tcW w:w="2360" w:type="dxa"/>
            <w:vAlign w:val="bottom"/>
          </w:tcPr>
          <w:p>
            <w:pPr>
              <w:spacing w:after="0"/>
              <w:rPr>
                <w:sz w:val="7"/>
                <w:szCs w:val="7"/>
                <w:color w:val="auto"/>
              </w:rPr>
            </w:pPr>
          </w:p>
        </w:tc>
        <w:tc>
          <w:tcPr>
            <w:tcW w:w="170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1460" w:type="dxa"/>
            <w:vAlign w:val="bottom"/>
            <w:gridSpan w:val="3"/>
            <w:vMerge w:val="continue"/>
          </w:tcPr>
          <w:p>
            <w:pPr>
              <w:spacing w:after="0"/>
              <w:rPr>
                <w:sz w:val="11"/>
                <w:szCs w:val="11"/>
                <w:color w:val="auto"/>
              </w:rPr>
            </w:pPr>
          </w:p>
        </w:tc>
        <w:tc>
          <w:tcPr>
            <w:tcW w:w="2360" w:type="dxa"/>
            <w:vAlign w:val="bottom"/>
          </w:tcPr>
          <w:p>
            <w:pPr>
              <w:spacing w:after="0"/>
              <w:rPr>
                <w:sz w:val="11"/>
                <w:szCs w:val="11"/>
                <w:color w:val="auto"/>
              </w:rPr>
            </w:pPr>
          </w:p>
        </w:tc>
        <w:tc>
          <w:tcPr>
            <w:tcW w:w="2140" w:type="dxa"/>
            <w:vAlign w:val="bottom"/>
            <w:gridSpan w:val="2"/>
            <w:vMerge w:val="restart"/>
          </w:tcPr>
          <w:p>
            <w:pPr>
              <w:ind w:left="1200"/>
              <w:spacing w:after="0"/>
              <w:rPr>
                <w:sz w:val="20"/>
                <w:szCs w:val="20"/>
                <w:color w:val="auto"/>
              </w:rPr>
            </w:pPr>
            <w:r>
              <w:rPr>
                <w:rFonts w:ascii="Arial" w:cs="Arial" w:eastAsia="Arial" w:hAnsi="Arial"/>
                <w:sz w:val="17"/>
                <w:szCs w:val="17"/>
                <w:color w:val="0000FF"/>
                <w:w w:val="89"/>
              </w:rPr>
              <w:t>See Remarks</w:t>
            </w: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2140" w:type="dxa"/>
            <w:vAlign w:val="bottom"/>
            <w:gridSpan w:val="2"/>
            <w:vMerge w:val="continue"/>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60" w:type="dxa"/>
            <w:vAlign w:val="bottom"/>
            <w:tcBorders>
              <w:bottom w:val="single" w:sz="8" w:color="2C2C2C"/>
            </w:tcBorders>
          </w:tcPr>
          <w:p>
            <w:pPr>
              <w:spacing w:after="0"/>
              <w:rPr>
                <w:sz w:val="8"/>
                <w:szCs w:val="8"/>
                <w:color w:val="auto"/>
              </w:rPr>
            </w:pPr>
          </w:p>
        </w:tc>
        <w:tc>
          <w:tcPr>
            <w:tcW w:w="236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540" w:type="dxa"/>
            <w:vAlign w:val="bottom"/>
            <w:gridSpan w:val="2"/>
            <w:vMerge w:val="restart"/>
          </w:tcPr>
          <w:p>
            <w:pPr>
              <w:ind w:left="560"/>
              <w:spacing w:after="0"/>
              <w:rPr>
                <w:sz w:val="20"/>
                <w:szCs w:val="20"/>
                <w:color w:val="auto"/>
              </w:rPr>
            </w:pPr>
            <w:r>
              <w:rPr>
                <w:rFonts w:ascii="Arial" w:cs="Arial" w:eastAsia="Arial" w:hAnsi="Arial"/>
                <w:sz w:val="17"/>
                <w:szCs w:val="17"/>
                <w:color w:val="0000FF"/>
              </w:rPr>
              <w:t>09/12/2023</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180"/>
              <w:spacing w:after="0"/>
              <w:rPr>
                <w:sz w:val="20"/>
                <w:szCs w:val="20"/>
                <w:color w:val="auto"/>
              </w:rPr>
            </w:pPr>
            <w:r>
              <w:rPr>
                <w:rFonts w:ascii="Arial" w:cs="Arial" w:eastAsia="Arial" w:hAnsi="Arial"/>
                <w:sz w:val="13"/>
                <w:szCs w:val="13"/>
                <w:color w:val="0000FF"/>
              </w:rPr>
              <w:t>P</w:t>
            </w:r>
          </w:p>
        </w:tc>
        <w:tc>
          <w:tcPr>
            <w:tcW w:w="760" w:type="dxa"/>
            <w:vAlign w:val="bottom"/>
            <w:vMerge w:val="restart"/>
          </w:tcPr>
          <w:p>
            <w:pPr>
              <w:ind w:left="180"/>
              <w:spacing w:after="0"/>
              <w:rPr>
                <w:sz w:val="20"/>
                <w:szCs w:val="20"/>
                <w:color w:val="auto"/>
              </w:rPr>
            </w:pPr>
            <w:r>
              <w:rPr>
                <w:rFonts w:ascii="Arial" w:cs="Arial" w:eastAsia="Arial" w:hAnsi="Arial"/>
                <w:sz w:val="17"/>
                <w:szCs w:val="17"/>
                <w:color w:val="0000FF"/>
              </w:rPr>
              <w:t>1,200</w:t>
            </w:r>
          </w:p>
        </w:tc>
        <w:tc>
          <w:tcPr>
            <w:tcW w:w="420" w:type="dxa"/>
            <w:vAlign w:val="bottom"/>
            <w:vMerge w:val="restart"/>
          </w:tcPr>
          <w:p>
            <w:pPr>
              <w:ind w:left="200"/>
              <w:spacing w:after="0"/>
              <w:rPr>
                <w:sz w:val="20"/>
                <w:szCs w:val="20"/>
                <w:color w:val="auto"/>
              </w:rPr>
            </w:pPr>
            <w:r>
              <w:rPr>
                <w:rFonts w:ascii="Arial" w:cs="Arial" w:eastAsia="Arial" w:hAnsi="Arial"/>
                <w:sz w:val="17"/>
                <w:szCs w:val="17"/>
                <w:color w:val="0000FF"/>
              </w:rPr>
              <w:t>A</w:t>
            </w:r>
          </w:p>
        </w:tc>
        <w:tc>
          <w:tcPr>
            <w:tcW w:w="640" w:type="dxa"/>
            <w:vAlign w:val="bottom"/>
            <w:gridSpan w:val="2"/>
            <w:vMerge w:val="restart"/>
          </w:tcPr>
          <w:p>
            <w:pPr>
              <w:ind w:left="20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1.68</w:t>
            </w:r>
          </w:p>
        </w:tc>
        <w:tc>
          <w:tcPr>
            <w:tcW w:w="128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2,623,334</w:t>
            </w:r>
          </w:p>
        </w:tc>
        <w:tc>
          <w:tcPr>
            <w:tcW w:w="300" w:type="dxa"/>
            <w:vAlign w:val="bottom"/>
          </w:tcPr>
          <w:p>
            <w:pPr>
              <w:spacing w:after="0"/>
              <w:rPr>
                <w:sz w:val="22"/>
                <w:szCs w:val="22"/>
                <w:color w:val="auto"/>
              </w:rPr>
            </w:pPr>
          </w:p>
        </w:tc>
        <w:tc>
          <w:tcPr>
            <w:tcW w:w="560" w:type="dxa"/>
            <w:vAlign w:val="bottom"/>
            <w:vMerge w:val="restart"/>
          </w:tcPr>
          <w:p>
            <w:pPr>
              <w:jc w:val="center"/>
              <w:ind w:right="291"/>
              <w:spacing w:after="0"/>
              <w:rPr>
                <w:sz w:val="20"/>
                <w:szCs w:val="20"/>
                <w:color w:val="auto"/>
              </w:rPr>
            </w:pPr>
            <w:r>
              <w:rPr>
                <w:rFonts w:ascii="Arial" w:cs="Arial" w:eastAsia="Arial" w:hAnsi="Arial"/>
                <w:sz w:val="17"/>
                <w:szCs w:val="17"/>
                <w:color w:val="0000FF"/>
                <w:w w:val="83"/>
              </w:rPr>
              <w:t>I</w:t>
            </w: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2"/>
                <w:szCs w:val="22"/>
                <w:color w:val="008000"/>
                <w:w w:val="94"/>
                <w:vertAlign w:val="superscript"/>
              </w:rPr>
              <w:t>(1)</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540" w:type="dxa"/>
            <w:vAlign w:val="bottom"/>
            <w:gridSpan w:val="2"/>
            <w:vMerge w:val="restart"/>
          </w:tcPr>
          <w:p>
            <w:pPr>
              <w:ind w:left="560"/>
              <w:spacing w:after="0"/>
              <w:rPr>
                <w:sz w:val="20"/>
                <w:szCs w:val="20"/>
                <w:color w:val="auto"/>
              </w:rPr>
            </w:pPr>
            <w:r>
              <w:rPr>
                <w:rFonts w:ascii="Arial" w:cs="Arial" w:eastAsia="Arial" w:hAnsi="Arial"/>
                <w:sz w:val="17"/>
                <w:szCs w:val="17"/>
                <w:color w:val="0000FF"/>
              </w:rPr>
              <w:t>09/13/2023</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180"/>
              <w:spacing w:after="0"/>
              <w:rPr>
                <w:sz w:val="20"/>
                <w:szCs w:val="20"/>
                <w:color w:val="auto"/>
              </w:rPr>
            </w:pPr>
            <w:r>
              <w:rPr>
                <w:rFonts w:ascii="Arial" w:cs="Arial" w:eastAsia="Arial" w:hAnsi="Arial"/>
                <w:sz w:val="13"/>
                <w:szCs w:val="13"/>
                <w:color w:val="0000FF"/>
              </w:rPr>
              <w:t>P</w:t>
            </w:r>
          </w:p>
        </w:tc>
        <w:tc>
          <w:tcPr>
            <w:tcW w:w="760" w:type="dxa"/>
            <w:vAlign w:val="bottom"/>
            <w:vMerge w:val="restart"/>
          </w:tcPr>
          <w:p>
            <w:pPr>
              <w:ind w:left="180"/>
              <w:spacing w:after="0"/>
              <w:rPr>
                <w:sz w:val="20"/>
                <w:szCs w:val="20"/>
                <w:color w:val="auto"/>
              </w:rPr>
            </w:pPr>
            <w:r>
              <w:rPr>
                <w:rFonts w:ascii="Arial" w:cs="Arial" w:eastAsia="Arial" w:hAnsi="Arial"/>
                <w:sz w:val="17"/>
                <w:szCs w:val="17"/>
                <w:color w:val="0000FF"/>
              </w:rPr>
              <w:t>6,305</w:t>
            </w:r>
          </w:p>
        </w:tc>
        <w:tc>
          <w:tcPr>
            <w:tcW w:w="420" w:type="dxa"/>
            <w:vAlign w:val="bottom"/>
            <w:vMerge w:val="restart"/>
          </w:tcPr>
          <w:p>
            <w:pPr>
              <w:ind w:left="200"/>
              <w:spacing w:after="0"/>
              <w:rPr>
                <w:sz w:val="20"/>
                <w:szCs w:val="20"/>
                <w:color w:val="auto"/>
              </w:rPr>
            </w:pPr>
            <w:r>
              <w:rPr>
                <w:rFonts w:ascii="Arial" w:cs="Arial" w:eastAsia="Arial" w:hAnsi="Arial"/>
                <w:sz w:val="17"/>
                <w:szCs w:val="17"/>
                <w:color w:val="0000FF"/>
              </w:rPr>
              <w:t>A</w:t>
            </w:r>
          </w:p>
        </w:tc>
        <w:tc>
          <w:tcPr>
            <w:tcW w:w="640" w:type="dxa"/>
            <w:vAlign w:val="bottom"/>
            <w:gridSpan w:val="2"/>
            <w:vMerge w:val="restart"/>
          </w:tcPr>
          <w:p>
            <w:pPr>
              <w:ind w:left="20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1.68</w:t>
            </w:r>
          </w:p>
        </w:tc>
        <w:tc>
          <w:tcPr>
            <w:tcW w:w="128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2,629,639</w:t>
            </w:r>
          </w:p>
        </w:tc>
        <w:tc>
          <w:tcPr>
            <w:tcW w:w="300" w:type="dxa"/>
            <w:vAlign w:val="bottom"/>
          </w:tcPr>
          <w:p>
            <w:pPr>
              <w:spacing w:after="0"/>
              <w:rPr>
                <w:sz w:val="22"/>
                <w:szCs w:val="22"/>
                <w:color w:val="auto"/>
              </w:rPr>
            </w:pPr>
          </w:p>
        </w:tc>
        <w:tc>
          <w:tcPr>
            <w:tcW w:w="560" w:type="dxa"/>
            <w:vAlign w:val="bottom"/>
            <w:vMerge w:val="restart"/>
          </w:tcPr>
          <w:p>
            <w:pPr>
              <w:jc w:val="center"/>
              <w:ind w:right="291"/>
              <w:spacing w:after="0"/>
              <w:rPr>
                <w:sz w:val="20"/>
                <w:szCs w:val="20"/>
                <w:color w:val="auto"/>
              </w:rPr>
            </w:pPr>
            <w:r>
              <w:rPr>
                <w:rFonts w:ascii="Arial" w:cs="Arial" w:eastAsia="Arial" w:hAnsi="Arial"/>
                <w:sz w:val="17"/>
                <w:szCs w:val="17"/>
                <w:color w:val="0000FF"/>
                <w:w w:val="83"/>
              </w:rPr>
              <w:t>I</w:t>
            </w: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00" w:type="dxa"/>
            <w:vAlign w:val="bottom"/>
            <w:gridSpan w:val="4"/>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tcBorders>
              <w:top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top w:val="single" w:sz="8" w:color="2C2C2C"/>
            </w:tcBorders>
          </w:tcPr>
          <w:p>
            <w:pPr>
              <w:spacing w:after="0"/>
              <w:rPr>
                <w:sz w:val="23"/>
                <w:szCs w:val="23"/>
                <w:color w:val="auto"/>
              </w:rPr>
            </w:pPr>
          </w:p>
        </w:tc>
        <w:tc>
          <w:tcPr>
            <w:tcW w:w="112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68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76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56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280" w:type="dxa"/>
            <w:vAlign w:val="bottom"/>
            <w:tcBorders>
              <w:top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26,000</w:t>
            </w:r>
          </w:p>
        </w:tc>
        <w:tc>
          <w:tcPr>
            <w:tcW w:w="300" w:type="dxa"/>
            <w:vAlign w:val="bottom"/>
            <w:tcBorders>
              <w:top w:val="single" w:sz="8" w:color="2C2C2C"/>
            </w:tcBorders>
          </w:tcPr>
          <w:p>
            <w:pPr>
              <w:spacing w:after="0"/>
              <w:rPr>
                <w:sz w:val="23"/>
                <w:szCs w:val="23"/>
                <w:color w:val="auto"/>
              </w:rPr>
            </w:pPr>
          </w:p>
        </w:tc>
        <w:tc>
          <w:tcPr>
            <w:tcW w:w="560" w:type="dxa"/>
            <w:vAlign w:val="bottom"/>
            <w:tcBorders>
              <w:top w:val="single" w:sz="8" w:color="2C2C2C"/>
            </w:tcBorders>
          </w:tcPr>
          <w:p>
            <w:pPr>
              <w:jc w:val="center"/>
              <w:ind w:right="291"/>
              <w:spacing w:after="0"/>
              <w:rPr>
                <w:sz w:val="20"/>
                <w:szCs w:val="20"/>
                <w:color w:val="auto"/>
              </w:rPr>
            </w:pPr>
            <w:r>
              <w:rPr>
                <w:rFonts w:ascii="Arial" w:cs="Arial" w:eastAsia="Arial" w:hAnsi="Arial"/>
                <w:sz w:val="17"/>
                <w:szCs w:val="17"/>
                <w:color w:val="0000FF"/>
                <w:w w:val="97"/>
              </w:rPr>
              <w:t>D</w:t>
            </w:r>
          </w:p>
        </w:tc>
        <w:tc>
          <w:tcPr>
            <w:tcW w:w="22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5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jc w:val="both"/>
        <w:ind w:left="40" w:right="240" w:firstLine="7"/>
        <w:spacing w:after="0" w:line="268"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Securities beneficially owned by Arbiter Partners Capital Management LLC ("Arbiter"). Arbiter is a registered investment adviser that manages and/or administers Arbiter Partners QP LP, an affiliated investment fund (the "Fund") as well as certain managed accounts (the "Managed Accounts"). Mr. Isaac controls Arbiter, as well as the Managed Accounts. The securities reported as beneficially owned by Mr. Isaac include the securities beneficially owned by the Fund and the Managed Accounts. Mr. Isaac, Arbiter and the Fund have filed a Statement on Schedule 13G with respect to the common stock of the Issuer. Mr. Isaac disclaims beneficial ownership of these securities for all purposes of Section 16 of the Securities Exchange Act of 1934, as amended, except to the extent of his pecuniary interest therein. Includes 18,531 shares of Common Stock previously transferred into certain Managed Accounts by the beneficiaries thereof from the accounts of such beneficiaries.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jc w:val="both"/>
        <w:ind w:left="40" w:right="500"/>
        <w:spacing w:after="0" w:line="250" w:lineRule="auto"/>
        <w:rPr>
          <w:sz w:val="20"/>
          <w:szCs w:val="20"/>
          <w:color w:val="auto"/>
        </w:rPr>
      </w:pPr>
      <w:r>
        <w:rPr>
          <w:rFonts w:ascii="Arial" w:cs="Arial" w:eastAsia="Arial" w:hAnsi="Arial"/>
          <w:sz w:val="13"/>
          <w:szCs w:val="13"/>
          <w:color w:val="008000"/>
        </w:rPr>
        <w:t>Ross B. Levin, the Director of Research at Arbiter, serves on the board of directors (the "Board") of the Issuer. Mr. Levin does not serve on Board pursuant to any agreement between Arbiter and the Issuer. Accordingly, this Form 4 is being filed as a matter of caution, and without conceding that Mr. Isaac, Arbiter or the Fund is an insider of the Issuer for purposes of Section 16 of the Securities Exchange Act of 1934, as amended.</w:t>
      </w:r>
    </w:p>
    <w:p>
      <w:pPr>
        <w:spacing w:after="0" w:line="39"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0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8"/>
              </w:rPr>
              <w:t>/s/ Paul J. Isaac</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09/14/2023</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023009" TargetMode="External"/><Relationship Id="rId13" Type="http://schemas.openxmlformats.org/officeDocument/2006/relationships/hyperlink" Target="http://www.sec.gov/cgi-bin/browse-edgar?action=getcompany&amp;CIK=00012893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2023-09-14T16:50:35Z</dcterms:created>
  <dcterms:modified xsi:type="dcterms:W3CDTF">2023-09-14T16:50:35Z</dcterms:modified>
</cp:coreProperties>
</file>